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86R13091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3489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task force on sex-based harassment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37.0834.</w:t>
      </w:r>
      <w:r>
        <w:rPr>
          <w:u w:val="single"/>
        </w:rPr>
        <w:t xml:space="preserve"> </w:t>
      </w:r>
      <w:r>
        <w:rPr>
          <w:u w:val="single"/>
        </w:rPr>
        <w:t xml:space="preserve"> </w:t>
      </w:r>
      <w:r>
        <w:rPr>
          <w:u w:val="single"/>
        </w:rPr>
        <w:t xml:space="preserve">TASK FORCE ON SEX-BASED HARASSMENT IN SCHOOLS.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"Sex-based harassment" includes "dating violence," "sexual assault," "sexual harassment," and "stalking," as those terms are defined in Section 51.9365.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"Task force" means the task force on sex-based harassment in public schools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"Title IX" means Title IX of the Education Amendments of 1972 (20 U.S.C. Section 1681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a task force on sex-based harassment in public schools to evaluate and provide recommendations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prevalence of incidents of sex-based harassment against students on campuses of public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federal, state, and local laws and rules related to sex-based harassment;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barriers to creation and implementation of policies, procedures, and programs to prevent sex-based harassment in public schools;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strategies for collecting data on the prevalence of sex-based harassment and the response by public schools to incidents of sex-based harassment;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best practices for the agency to provide guidance and support to public schools regarding sex-based harassment;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best practices for public schools providing guidance and support to students regarding sex-based harassment;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issues identified by the task force related to sex-based harassment in public schools.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is composed of 15 members appointed by the commissioner. The commissioner shall appoint: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who represent nonprofit organizations that focus on mental health or trauma;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represents a nonprofit organization that focuses on youth;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legal advocacy nonprofit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three members who represent nonprofit organizations that focus on gender-based or interpersonal violence;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represents a nonprofit organization that focuses on schools;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 members who are school district employees or members of a local school health advisory council;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has served as a Title IX coordinator at a school district or an institution of higher education;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parent or guardian of a student enrolled in a public school in this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of the public who is under 25 years of age;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who is an agency employee.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select one member to serve as the presiding officer of the task force.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of the task force serve at the will of the commissioner. A vacancy on the task force must be filled in the same manner as the original appointment.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task force shall meet at least four times at the call of the presiding officer and at any other times determined by the presiding officer.</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task force member is not entitled to compensation for service on the task force but is entitled to reimbursement for actual and necessary expenses incurred in performing task force duties. The task force may accept gifts, grants, and donations to pay for those expenses.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determining best practices for public schools, the task force must evaluate and provide recommendations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improving student and parent or guardian awareness of school policies and student rights, including awareness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how to access information about a school district's sex-based harassment policy;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how to report sex-based harassment, including how to contact a school district's Title IX coordinator;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investigation procedures and associated rights and policies for the accused and complainant in sex-based harassment incidents;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counseling and mental health services available on campus or by referral to off-campus resources for students who experience sex-based harassment;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accommodations available to support students who experience sex-based harassment;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district policies and procedures,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information to students, guardians, school employees, and members of the public in languages prevalent in the school district on the district's sex-based harassment policies and procedures and contact information for each school's Title IX coordinator;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professional development training for school district employees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training in trauma-informed practices;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information relating to the contents of Title IX regarding sex-based harassment;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reporting and investigation procedures, including the referral of a student or parent or guardian to the Title IX coordinator;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other training relevant to the implementation of Title IX in public 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hearing procedures for ensuring due process for a person who experiences sex-based harassment and a person accused of sex-based harassment;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providing trauma-informed counseling or mental health services on public school campuses or referring students to off-campus mental health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enabling public schools to evaluate the need for and provide necessary academic or other accommodations to students affected by sex-based harassment;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issues identified by the task force regarding sex-based harassment and the implementation of Title IX in public schools.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using existing resources, shall provide administrative support for the task force.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August 31, 2020, the task force shall submit a written report to the governor, the lieutenant governor, the speaker of the house of representatives, and the commissioner that includes the task force's findings and recommendations, including any recommended changes to state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task force is abolished and this section expires on June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2019, the commissioner of education shall appoint the members of the task force established under Section 37.0834,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