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3490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of the criminal offense of harassment;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42.07(a) and (c),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publishes on an Internet website, including a social media platform, repeated electronic communications in a manner reasonably likely to harass, abuse, or torment another person</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 a Class A misdemeanor if:</w:t>
      </w:r>
    </w:p>
    <w:p w:rsidR="003F3435" w:rsidRDefault="0032493E">
      <w:pPr>
        <w:spacing w:line="480" w:lineRule="auto"/>
        <w:ind w:firstLine="1440"/>
        <w:jc w:val="both"/>
      </w:pPr>
      <w:r>
        <w:t xml:space="preserve">(1)</w:t>
      </w:r>
      <w:r xml:space="preserve">
        <w:t> </w:t>
      </w:r>
      <w:r xml:space="preserve">
        <w:t> </w:t>
      </w:r>
      <w:r>
        <w:t xml:space="preserve">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the offense was committed under Subsection (a)(7) </w:t>
      </w:r>
      <w:r>
        <w:rPr>
          <w:u w:val="single"/>
        </w:rPr>
        <w:t xml:space="preserve">or (8)</w:t>
      </w:r>
      <w:r>
        <w:t xml:space="preserve"> and:</w:t>
      </w:r>
    </w:p>
    <w:p w:rsidR="003F3435" w:rsidRDefault="0032493E">
      <w:pPr>
        <w:spacing w:line="480" w:lineRule="auto"/>
        <w:ind w:firstLine="2160"/>
        <w:jc w:val="both"/>
      </w:pPr>
      <w:r>
        <w:t xml:space="preserve">(A)</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2880"/>
        <w:jc w:val="both"/>
      </w:pPr>
      <w:r>
        <w:t xml:space="preserve">(i)</w:t>
      </w:r>
      <w:r xml:space="preserve">
        <w:t> </w:t>
      </w:r>
      <w:r xml:space="preserve">
        <w:t> </w:t>
      </w:r>
      <w:r>
        <w:t xml:space="preserve">commit suicide; or</w:t>
      </w:r>
    </w:p>
    <w:p w:rsidR="003F3435" w:rsidRDefault="0032493E">
      <w:pPr>
        <w:spacing w:line="480" w:lineRule="auto"/>
        <w:ind w:firstLine="2880"/>
        <w:jc w:val="both"/>
      </w:pPr>
      <w:r>
        <w:t xml:space="preserve">(ii)</w:t>
      </w:r>
      <w:r xml:space="preserve">
        <w:t> </w:t>
      </w:r>
      <w:r xml:space="preserve">
        <w:t> </w:t>
      </w:r>
      <w:r>
        <w:t xml:space="preserve">engage in conduct causing serious bodily injury to the child; or</w:t>
      </w:r>
    </w:p>
    <w:p w:rsidR="003F3435" w:rsidRDefault="0032493E">
      <w:pPr>
        <w:spacing w:line="480" w:lineRule="auto"/>
        <w:ind w:firstLine="2160"/>
        <w:jc w:val="both"/>
      </w:pPr>
      <w:r>
        <w:t xml:space="preserve">(B)</w:t>
      </w:r>
      <w:r xml:space="preserve">
        <w:t> </w:t>
      </w:r>
      <w:r xml:space="preserve">
        <w:t> </w:t>
      </w:r>
      <w:r>
        <w:t xml:space="preserve">the actor has previously violated a temporary restraining order or injunction issued under Chapter 129A, Civil Practice and Remedies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3490 was passed by the House on May 10, 2019, by the following vote:</w:t>
      </w:r>
      <w:r xml:space="preserve">
        <w:t> </w:t>
      </w:r>
      <w:r xml:space="preserve">
        <w:t> </w:t>
      </w:r>
      <w:r>
        <w:t xml:space="preserve">Yeas 101, Nays 34,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3490 was passed by the Senate on May 21, 2019,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