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86R13123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3495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wet debris study group.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 418.054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WET DEBRIS STUDY GROUP.  (a) </w:t>
      </w:r>
      <w:r>
        <w:rPr>
          <w:u w:val="single"/>
        </w:rPr>
        <w:t xml:space="preserve"> </w:t>
      </w:r>
      <w:r>
        <w:rPr>
          <w:u w:val="single"/>
        </w:rPr>
        <w:t xml:space="preserve">In this section, "study group" means the wet debris study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wet debris study group is established and consists of representatives of local, state, and federal governmental entities who are appointed by the lieutenant governor and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study group shall study issues related to removal of wet debris, including best practices for clearing wet debris following a disaster and determining responsibility for that removal.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November 1, 2020, the study group shall submit a report containing recommendations on the issues described by Subsection (c) to each member of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study group is abolished and this section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