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86R11775 MAW-F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w:t>
      </w:r>
      <w:r xml:space="preserve">
        <w:tab wTab="150" tlc="none" cTlc="0"/>
      </w:r>
      <w:r>
        <w:t xml:space="preserve">H.B.</w:t>
      </w:r>
      <w:r xml:space="preserve">
        <w:t> </w:t>
      </w:r>
      <w:r>
        <w:t xml:space="preserve">No.</w:t>
      </w:r>
      <w:r xml:space="preserve">
        <w:t> </w:t>
      </w:r>
      <w:r>
        <w:t xml:space="preserve">3500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representation of certain indigent applicants for a writ of habeas corpus.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11.074, Code of Criminal Procedure,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If at any time the state represents to the convicting court that an eligible indigent defendant under Article 1.051 </w:t>
      </w:r>
      <w:r>
        <w:rPr>
          <w:u w:val="single"/>
        </w:rPr>
        <w:t xml:space="preserve">has under a writ of habeas corpus a potentially meritorious claim for relief from a judgment described by Subsection (a)</w:t>
      </w:r>
      <w:r>
        <w:t xml:space="preserve"> [</w:t>
      </w:r>
      <w:r>
        <w:rPr>
          <w:strike/>
        </w:rPr>
        <w:t xml:space="preserve">who was sentenced or had a sentence suspended is not guilty, is guilty of only a lesser offense, or was convicted or sentenced under a law that has been found unconstitutional by the court of criminal appeals or the United States Supreme Court</w:t>
      </w:r>
      <w:r>
        <w:t xml:space="preserve">], the court shall appoint an attorney to </w:t>
      </w:r>
      <w:r>
        <w:rPr>
          <w:u w:val="single"/>
        </w:rPr>
        <w:t xml:space="preserve">investigate the claim and</w:t>
      </w:r>
      <w:r>
        <w:t xml:space="preserve"> represent the indigent defendant for purposes of filing an application for a writ of habeas corpus, if an application has not been filed, or to otherwise represent the indigent defendant in a proceeding based on the application for the writ.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 a potentially meritorious claim is any claim the court determines is likely to provide relief, including a claim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or may be actually innocent of the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or may be guilty of only a lesser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or may have been convicted or sentenced under a law that has been found unconstitutional by the court of criminal appeals or the United States Supreme Court;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was or may have been convicted or sentenced in violation of the constitution of this state or the United States.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relating to the application of writ of habeas corpus applies regardless of whether the offense for which the applicant is in custody was committed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