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maintains weapons proficiency in accordance with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who have been issued a certificate of firearms proficiency under Section 1701.2561 shall designate a firearms proficiency officer and require the jailers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 </w:t>
      </w:r>
      <w:r>
        <w:rPr>
          <w:u w:val="single"/>
        </w:rPr>
        <w:t xml:space="preserve"> </w:t>
      </w:r>
      <w:r>
        <w:rPr>
          <w:u w:val="single"/>
        </w:rPr>
        <w:t xml:space="preserve">A county jailer's failure to demonstrate weapons proficiency does not affect the county jailer's license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3503 was passed by the House on May 10,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3503 was passed by the Senate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