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Optometry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351.151,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provide an interpretation of a provision of this chapter or a rule adopted under this chapter, including by issuing an advisory opinion or declaratory ruling.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351, Occupations Code, is amended by adding Section 351.170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351.170.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SOLE AUTHORITY OVER PRACTICE OF OPTOMETRY. </w:t>
      </w:r>
      <w:r>
        <w:rPr>
          <w:u w:val="single"/>
        </w:rPr>
        <w:t xml:space="preserve"> </w:t>
      </w:r>
      <w:r>
        <w:rPr>
          <w:u w:val="single"/>
        </w:rPr>
        <w:t xml:space="preserve">The board has sole authority to regulate optometrists and therapeutic optometrists and to determine the scope of practice of an optometrist or therapeutic optometrist.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Optometry Board shall adopt rules necessary to implement the changes in law made by this Act to Chapter 351,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