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86R13448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3509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public access to information regarding district of innovation exemptions from educator certification or school district teaching permit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12A.004, Education Code, is amended by amending Subsection (b) and adding Subsections (c) and (d) to read as follows:</w:t>
      </w:r>
    </w:p>
    <w:p w:rsidR="003F3435" w:rsidRDefault="0032493E">
      <w:pPr>
        <w:spacing w:line="480" w:lineRule="auto"/>
        <w:ind w:firstLine="720"/>
        <w:jc w:val="both"/>
      </w:pPr>
      <w:r>
        <w:t xml:space="preserve">(b)</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maintain a list of provisions of this title from which school districts designated as districts of innovation are exempt under this chapter;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for each district of innovation that is exempt under its local innovation plan from an educator certification or school district teaching permit requirement under Chapter 21, identify the type of educator certification or school district teaching permit exempted under its plan; and</w:t>
      </w:r>
    </w:p>
    <w:p w:rsidR="003F3435" w:rsidRDefault="0032493E">
      <w:pPr>
        <w:spacing w:line="480" w:lineRule="auto"/>
        <w:ind w:firstLine="1440"/>
        <w:jc w:val="both"/>
      </w:pPr>
      <w:r>
        <w:rPr>
          <w:u w:val="single"/>
        </w:rPr>
        <w:t xml:space="preserve">(3)</w:t>
      </w:r>
      <w:r xml:space="preserve">
        <w:t> </w:t>
      </w:r>
      <w:r xml:space="preserve">
        <w:t> </w:t>
      </w:r>
      <w:r>
        <w:t xml:space="preserve">notify the legislature of each provision from which districts enrolling a majority of students in this state are exempt.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post on the agency's Internet website the educator certification and school district teaching permit exemption information identified under Subsection (b)(2).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to administer this section, including rules to determine the method by which the commissioner requests and receives the educator certification and school district teaching permit exemption information identified under Subsection (b)(2).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