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86R21972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intermodal shipping container permit in North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623.0172(b),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issue an annual permit for the international transportation of an intermodal shipping container moving by a truck-tractor and semitrailer combination that has six total axles and is equipped with a roll stability support safety system and truck blind spot systems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gross weight of the combination does not exceed </w:t>
      </w:r>
      <w:r>
        <w:rPr>
          <w:u w:val="single"/>
        </w:rPr>
        <w:t xml:space="preserve">95,000</w:t>
      </w:r>
      <w:r>
        <w:t xml:space="preserve"> [</w:t>
      </w:r>
      <w:r>
        <w:rPr>
          <w:strike/>
        </w:rPr>
        <w:t xml:space="preserve">93,000</w:t>
      </w:r>
      <w:r>
        <w:t xml:space="preserve">] pounds;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distance between the front axle of the truck-tractor and the last axle of the semitrailer, measured longitudinally, is approximately 647 inches;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truck-tractor is configured as follows: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one single axle that does not exceed 13,000 pounds;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one two-axle group that does not exceed 37,000 pounds, in which no axle in the group exceeds 18,500 pounds;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distance between the individual axles on the two-axle group of the truck-tractor, measured longitudinally, is not less than 51 inches and not more than 52 inches;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semitrailer is configured as follows: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one three-axle group that does not exceed 49,195 pounds, in which no axle in the group exceeds 16,400 pounds;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distance between the individual axles in the three-axle group of the semitrailer, measured longitudinally, is 60 inches.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