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86R2884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preservation, maintenance, and restoration of the Alamo Cenotaph; granting the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31, Natural Resources Code, is amended by adding Section 31.4515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31.4515.</w:t>
      </w:r>
      <w:r>
        <w:rPr>
          <w:u w:val="single"/>
        </w:rPr>
        <w:t xml:space="preserve"> </w:t>
      </w:r>
      <w:r>
        <w:rPr>
          <w:u w:val="single"/>
        </w:rPr>
        <w:t xml:space="preserve"> </w:t>
      </w:r>
      <w:r>
        <w:rPr>
          <w:u w:val="single"/>
        </w:rPr>
        <w:t xml:space="preserve">PRESERVATION, MAINTENANCE, AND RESTORATION OF ALAMO CENOTAPH.  (a)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44th Legislature: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appropriated money to create and conduct celebrations commemorating the heroic period of early Texas history and celebrating a century of independence and progress for Texas as a republic and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created a Commission of Control for Texas Centennial celebrations to approve allocations of state appropriated money and to apply for federal money for the centennial celebrations to be spent under the direction and control of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from federal money granted to the state, the Commission of Control commissioned construction of the Alamo Cenotaph for the benefit of the state and the public to honor heroes of the Alamo and other patriotic Texans.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office is responsible for the preservation, maintenance, and restoration of the Alamo Cenotaph and has jurisdiction over the land immediately underneath and adjacent to the cenotaph.  The land office shall determine and officially designate a reasonable amount of land as the land immediately underneath and adjacent to the cenotaph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land office has the power of eminent domain to acquire in the manner provided by Chapter 21, Property Code, any property necessary to preserve, maintain, and restore the Alamo Cenotaph and carry out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power or duty related to the Alamo Cenotaph formerly vested in another state agency or local governmental entity, including the City of San Antonio, is vested solely in the land office in accordance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