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86R9827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penalty for filing a late application for certain ad valorem tax exemptions and allocations.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11.4391(b),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application is approved, the property owner is liable to each taxing unit </w:t>
      </w:r>
      <w:r>
        <w:rPr>
          <w:u w:val="single"/>
        </w:rPr>
        <w:t xml:space="preserve">allowing the exemption</w:t>
      </w:r>
      <w:r>
        <w:t xml:space="preserve"> </w:t>
      </w:r>
      <w:r>
        <w:t xml:space="preserve">for a penalty in an amount equal to 10 percent of the difference between the amount of tax imposed by the taxing unit on the inventory or property, a portion of which consists of freeport goods, and the amount that would otherwise have been imposed </w:t>
      </w:r>
      <w:r>
        <w:rPr>
          <w:u w:val="single"/>
        </w:rPr>
        <w:t xml:space="preserve">up to a maximum penalty of 10 percent of the tax imposed with the 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application is approved, the property owner is liable to each taxing unit for a penalty in an amount equal to 10 percent of the difference between the amount of tax imposed by the taxing unit on the property without the allocation and the amount of tax imposed on the property with the allocation </w:t>
      </w:r>
      <w:r>
        <w:rPr>
          <w:u w:val="single"/>
        </w:rPr>
        <w:t xml:space="preserve">up to a maximum penalty of 10 percent of the tax imposed with the allocation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11.4391(b), Tax Code, as amended by this Act, applies only to an application for an exemption for freeport goods under Section 11.251, Tax Code,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21.10(b), Tax Code, as amended by this Act, applies only to an application for an allocation under Section 21.09, Tax Code, filed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