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86R14476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educational requirements for hospital case managers.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241, Health and Safety Code, is amended by adding Section 241.013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241.013.</w:t>
      </w:r>
      <w:r>
        <w:rPr>
          <w:u w:val="single"/>
        </w:rPr>
        <w:t xml:space="preserve"> </w:t>
      </w:r>
      <w:r>
        <w:rPr>
          <w:u w:val="single"/>
        </w:rPr>
        <w:t xml:space="preserve"> </w:t>
      </w:r>
      <w:r>
        <w:rPr>
          <w:u w:val="single"/>
        </w:rPr>
        <w:t xml:space="preserve">HOSPITAL CASE MANAGERS.  (a) </w:t>
      </w:r>
      <w:r>
        <w:rPr>
          <w:u w:val="single"/>
        </w:rPr>
        <w:t xml:space="preserve"> </w:t>
      </w:r>
      <w:r>
        <w:rPr>
          <w:u w:val="single"/>
        </w:rPr>
        <w:t xml:space="preserve">In this section, "hospital case manager" means a person who provides health care coordination, utilization review, discharge planning, and other services to meet the health care needs of a patient in a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establish educational requirements for hospital case managers who are employed by or are providing services to a hospital. </w:t>
      </w:r>
      <w:r>
        <w:rPr>
          <w:u w:val="single"/>
        </w:rPr>
        <w:t xml:space="preserve"> </w:t>
      </w:r>
      <w:r>
        <w:rPr>
          <w:u w:val="single"/>
        </w:rPr>
        <w:t xml:space="preserve">The rules at a minimum must require a hospital case manager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license issued under Chapter 301,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master's degree from an accredited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compliance with the requirements established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Health and Human Services Commission shall adopt the rules necessary to implement Section 241.013,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