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86R24943 ADM-F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3525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3525: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Dutton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3525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destruction of juvenile court records of victims of sex trafficking.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C-1, Chapter 58, Family Code, is amended by adding Section 58.2635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58.2635.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DESTRUCTION OF JUVENILE COURT RECORDS: VICTIM OF SEX TRAFFICKING.  (a)  A juvenile court shall order the destruction of the court's records related to conduct for which a person was referred to a juvenile probation department, regardless of whether the person was adjudicated and without application to the court,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 conduct constitutes an offense under Section 43.02(a), Penal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defense under Section 43.02(d), Penal Code, applies to the conduct;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 is at least 18 years of age.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Electronic records are considered to be destroyed if the electronic records, including the index to the records, are deleted.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Converting physical records to electronic records and subsequently destroying the physical records while maintaining the electronic records is not considered destruction of a record under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authorize the destruction of records maintained for statistical and research purposes by the Texas Juvenile Justice Department in a juvenile information and case management system authorized under Section 58.403.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to juvenile court records created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3525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