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86R13954 ADM-F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Rose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3525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destruction of juvenile records of victims of sex trafficking.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C-1, Chapter 58, Family Code, is amended by adding Section 58.2635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58.2635.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DESTRUCTION OF RECORDS: VICTIM OF SEX TRAFFICKING.  (a)  A juvenile court shall order the destruction of the records related to conduct for which a person was referred to a juvenile probation department, regardless of whether the person was adjudicated and without application to the court,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 conduct constitutes an offense under Section 43.02(a), Penal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defense under Section 43.02(d), Penal Code, applies to the conduct;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is at least 18 years of age.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restriction imposed by an entity's records retention guidelines, the juvenile court shall issue an order for the destruction of records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Electronic records are considered to be destroyed if the electronic records, including the index to the records, are deleted.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Converting physical records to electronic records and subsequently destroying the physical records while maintaining the electronic records is not considered destruction of a record under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authorize the destruction of records maintained for statistical and research purposes by the Texas Juvenile Justice Department in a juvenile information and case management system authorized under Section 58.403.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to records created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