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family violence pretrial diversion pilot program in Bexar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509, Government Code, is amended by adding Section 509.018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509.018.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FAMILY VIOLENCE PRETRIAL DIVERSION PILOT PROGRAM.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"family violence" has the meaning assigned by Section 71.004, Family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reduce rates of family violence recidivism, the division shall collaborate with judges in Bexar County who have jurisdiction over cases involving family violence to establish a family violence pretrial diversion pilot program for individuals who are charged with an offense involving family violence and who suffer from a substance abuse disorder or chemical dependency.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pretrial diversion pilot program developed under this section shall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assessment instruments to accurately analyze the needs of pilot program participants;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comprehensive substance abuse disorder and chemical dependency treatment program that includes case managers, clinicians, peer mentors, or recovery coaches;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collaboration with law enforcement agencies, a procedure to rapidly respond to pilot program participants who fail to comply with pilot program requirements, including, when appropriate, immediate removal from the pilot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a video teleconferencing system in court to facilitate the cooperation of witnesses in the criminal justice system and to reduce costs associated with transporting defendants.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shall review the pilot program established under this section and submit a report to the governor, the lieutenant governor, the speaker of the house of representatives, and the legislature not later than December 1 of each</w:t>
      </w:r>
      <w:r>
        <w:rPr>
          <w:u w:val="single"/>
        </w:rPr>
        <w:t xml:space="preserve"> even-numbered year. </w:t>
      </w:r>
      <w:r>
        <w:rPr>
          <w:u w:val="single"/>
        </w:rPr>
        <w:t xml:space="preserve"> </w:t>
      </w:r>
      <w:r>
        <w:rPr>
          <w:u w:val="single"/>
        </w:rPr>
        <w:t xml:space="preserve">The report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of the status and results of the pilot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analysis of the effectiveness of the pilot program in reducing the rate of family violence recidivism among individuals charged with an offense involving family violence and suffering from a substance abuse disorder or chemical dependency;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sources of funding available to extend the pilot program to other counties or for a longer period of time, including available local, state, and federal funding sources;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legislative or other recommendations.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