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86R17757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family violence pretrial diversion pilot program in Bexar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493, Government Code, is amended by adding Section 493.032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493.032.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VIOLENCE PRETRIAL DIVERSION 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"family violence" 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reduce rates of family violence recidivism, the executive director shall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pretrial diversion pilot program developed under this section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assessment instruments to accurately analyze the needs of pilot program participants;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comprehensive substance abuse disorder and chemical dependency treatment program that includes case managers, clinicians, peer mentors, or recovery coaches;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collaboration with law enforcement agencies, a procedure to rapidly respond to pilot program participants who fail to comply with pilot program requirements, including, when appropriate, immediate removal from the pilot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video teleconferencing system in court to facilitate the cooperation of witnesses in the criminal justice system and to reduce costs associated with transporting defendants.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review the pilot program established under this section and submit a report to the governor, the lieutenant governor, the speaker of the house of representatives, and the legislature not later than December 1 of each even-numbered year.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the status and results of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the effectiveness of the pilot program in reducing the rate of family violence recidivism among individuals charged with an offense involving family violence and suffering from a substance abuse disorder or chemical dependency;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sources of funding available to extend the pilot program to other counties or for a longer period of time, including available local, state, and federal funding 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legislative or other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