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86R9996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w:t>
      </w:r>
      <w:r>
        <w:rPr>
          <w:u w:val="single"/>
        </w:rPr>
        <w:t xml:space="preserve"> </w:t>
      </w:r>
      <w:r>
        <w:rPr>
          <w:u w:val="single"/>
        </w:rPr>
        <w:t xml:space="preserve">vehicle subject to Chapter 501,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or vessel for which a certificate of title is required under Subchapter B, Chapter 31, Parks and Wildlife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trailer for which a title or registration is required under Chapter 501 or 502, Transportation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motor vehicle, motorboat, vessel, or trailer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