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86R9515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3540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peace officer to release in lieu of arrest certain persons with an intellectual or developmental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Code of Criminal Procedure, is amended by adding Article 14.035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14.035.</w:t>
      </w:r>
      <w:r>
        <w:rPr>
          <w:u w:val="single"/>
        </w:rPr>
        <w:t xml:space="preserve"> </w:t>
      </w:r>
      <w:r>
        <w:rPr>
          <w:u w:val="single"/>
        </w:rPr>
        <w:t xml:space="preserve"> </w:t>
      </w:r>
      <w:r>
        <w:rPr>
          <w:u w:val="single"/>
        </w:rPr>
        <w:t xml:space="preserve">AUTHORITY TO RELEASE IN LIEU OF ARREST CERTAIN PERSONS WITH INTELLECTUAL OR DEVELOPMENTAL DISABILITY. </w:t>
      </w:r>
      <w:r>
        <w:rPr>
          <w:u w:val="single"/>
        </w:rPr>
        <w:t xml:space="preserve"> </w:t>
      </w:r>
      <w:r>
        <w:rPr>
          <w:u w:val="single"/>
        </w:rPr>
        <w:t xml:space="preserve">(a) </w:t>
      </w:r>
      <w:r>
        <w:rPr>
          <w:u w:val="single"/>
        </w:rPr>
        <w:t xml:space="preserve"> </w:t>
      </w:r>
      <w:r>
        <w:rPr>
          <w:u w:val="single"/>
        </w:rPr>
        <w:t xml:space="preserve">This article applies only to a person with an intellectual or developmental disability who resides at an intermediate care facility for persons with an intellectual or developmental disability or other institutional care facility operated under the home and community-based services waiver program in accordance with Section 1915(c) of the Social Security Act (42 U.S.C. Section 1396n).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before a peace officer arrests a person who the officer knows is a person described by Subsection (a), the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whether it is in the best interest of the person to arrest the person or to release the person in lieu of arrest to the person's residence;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consult with the person's legal guardian or representative and the staff at the person's residence regarding that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peace officer is not required to comply with Subsection (b) if the officer has probable cause to believe that there is a continuing threat of violence by or against the person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arrest that occurs on or after the effective date of this Act. </w:t>
      </w:r>
      <w:r>
        <w:t xml:space="preserve"> </w:t>
      </w:r>
      <w:r>
        <w:t xml:space="preserve">An arrest that occurred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