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86R8221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established under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shall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required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  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