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3542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water and sewer services by certain retail public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13, Water Code, is amended by adding Section 13.150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13.150.</w:t>
      </w:r>
      <w:r>
        <w:rPr>
          <w:u w:val="single"/>
        </w:rPr>
        <w:t xml:space="preserve"> </w:t>
      </w:r>
      <w:r>
        <w:rPr>
          <w:u w:val="single"/>
        </w:rPr>
        <w:t xml:space="preserve"> </w:t>
      </w:r>
      <w:r>
        <w:rPr>
          <w:u w:val="single"/>
        </w:rPr>
        <w:t xml:space="preserve">REPORTS REQUIRED FOR WATER AND SEWER UTILITIES. </w:t>
      </w:r>
      <w:r>
        <w:rPr>
          <w:u w:val="single"/>
        </w:rPr>
        <w:t xml:space="preserve"> </w:t>
      </w:r>
      <w:r>
        <w:rPr>
          <w:u w:val="single"/>
        </w:rPr>
        <w:t xml:space="preserve">(a) </w:t>
      </w:r>
      <w:r>
        <w:rPr>
          <w:u w:val="single"/>
        </w:rPr>
        <w:t xml:space="preserve"> </w:t>
      </w:r>
      <w:r>
        <w:rPr>
          <w:u w:val="single"/>
        </w:rPr>
        <w:t xml:space="preserve">This section applies only to a utility that provides retail water or sewer utility service through fewer than 10,000 taps or connections.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utility shall deliver to the utility commission a report of the utility's financial, managerial, and technical capacity to provide continuous and adequate service to its customers not later than the third anniversary of the date that the utility violates a final order of the commission by failing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system capacity that is greater than the required raw water or groundwater production rate or the anticipated daily demand of the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minimum pressure of 35 pounds per square inch throughout the distribution system under normal operating conditions;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accurate or properly calibrated testing equipment or other means of monitoring the effectiveness of a chemical treatment or pathogen inactivation or removal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utility that has an existing obligation to deliver a report under Subsection (b) is not required to deliver another report as a result of the occurrence of an event described by Subsection (b) if the event occurs before the date that the utility delivers the report required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receiving notice that a utility has violated an order described by Subsection (b), the commission shall provide written notice of the violation to the utility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utility commission shall deliver a copy of a report received under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state senator representing a district that contains a portion of the service area of the utility that submitted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state representative representing a district that contains a portion of the service area of the utility that submitted the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utility fails to deliver a report in accordance with Subsection (b), the utility commission shall report the failure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state senator representing a district that contains a portion of the utility's service area;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state representative representing a district that contains a portion of the utility's service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13, Water Code, is amended by adding Section 13.305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13.305.</w:t>
      </w:r>
      <w:r>
        <w:rPr>
          <w:u w:val="single"/>
        </w:rPr>
        <w:t xml:space="preserve"> </w:t>
      </w:r>
      <w:r>
        <w:rPr>
          <w:u w:val="single"/>
        </w:rPr>
        <w:t xml:space="preserve"> </w:t>
      </w:r>
      <w:r>
        <w:rPr>
          <w:u w:val="single"/>
        </w:rPr>
        <w:t xml:space="preserve">VOLUNTARY VALUATION OF ACQUIRED UTILITY OR FACILITIES.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"Acquiring utility" means a Class A or Class B utility that is acquiring a selling utility, or facilities of a selling utility, as the result of a voluntary arm's-length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"Ratemaking rate base" means the dollar value of a selling utility that is incorporated into the rate base of the acquiring utility for postacquisition ratemaking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"Selling utility" means a retail public utility that is being purchased by an acquiring utility, or is selling facilities to an acquiring utility, as the result of a voluntary arm's-length transaction.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utility commission shall maintain a list of experts qualified to conduct economic valuations of utilities for the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acquiring utility and a selling utility may agree to determine by the following process the fair market value of the selling utility or the facilities to be sold,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acquiring utility and the selling utility shall notify the utility commission of their intent to determine the fair market value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the utility commission receives notice under Subdivision (1), the utility commission shall select three utility valuation experts from the list maintained under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utility valuation expert shall perform an appraisal in compliance with Uniform Standards of Professional Appraisal Practice, employing the cost, market, and income approaches, to determine the fair market value;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three utility valuation experts selected under Subdivision (2) jointly shall retain a licensed engineer to conduct an assessment of the tangible assets of the selling utility, or the facilities to be sold, as applicable, and each utility valuation expert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incorporate the assessment into the appraisal under the cost approach required under Subdivision (3);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completed appraisal to the acquiring utility and the selling utility in a reasonable and timely manner.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utility valuation expert described by Subsection (b)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derive any material financial benefit from the sale other than fees for services rendered;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or have been within the year preceding the date the service contract is executed an immediate family member of a director, officer, or employee of the acquiring utility or the selling utility.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paid to a utility valuation expert may be included in the transaction and closing costs associated with the acquisition by the acquiring utility.  A fee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percent of the fair market value;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amount approved by the utility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the purposes of the acquisition, the fair market value is the average of the three utility valuation expert appraisals conducted under Subsection (c).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an acquisition of a selling utility, the ratemaking rate base of the selling utility is the lesser of the purchase price negotiated by the acquiring utility and the selling utility or the fair market value. </w:t>
      </w:r>
      <w:r>
        <w:rPr>
          <w:u w:val="single"/>
        </w:rPr>
        <w:t xml:space="preserve"> </w:t>
      </w:r>
      <w:r>
        <w:rPr>
          <w:u w:val="single"/>
        </w:rPr>
        <w:t xml:space="preserve">The ratemaking rate base of the selling utility shall be incorporated into the rate base of the acquiring utility during the utility's next rate base case under Subchapter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acquiring utility and the selling utility use the process for establishing fair market value in Subsection (c), the acquiring utility shall submit as attachments to an application required under Section 13.301: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three appraisals performed by the utility valuation experts under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price agreed to by the acquiring utility and the selling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ratemaking rate base determined under Subsection (g);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transaction and closing costs incurred by the acquiring utility that will be included in the utility's rate base;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applicable, a tariff containing a rate equal to the existing rates of the selling utility at the time of the acquisition.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utility commission approves the application for acquisition under Section 13.301, the utility commission shall issue an order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ratemaking rate base of the selling utility as determined under Subsection (g);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additional conditions for the acquisition the utility commission requires.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tariff submitted under Subsection (h)(5) shall remain in effect until the utility commission approves new rates as part of a rate base case proceeding.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original sources of funding for any part of the water or sewer assets of the selling utility are not relevant to determine the value of the selling utility's assets. </w:t>
      </w:r>
      <w:r>
        <w:rPr>
          <w:u w:val="single"/>
        </w:rPr>
        <w:t xml:space="preserve"> </w:t>
      </w:r>
      <w:r>
        <w:rPr>
          <w:u w:val="single"/>
        </w:rPr>
        <w:t xml:space="preserve">The selling utility's cost of service shall be incorporated into the revenue requirement of the acquiring utility's next rate base case proceeding.</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 this subsection, "allowance of funds used during construction" means an accounting practice that recognizes the capital costs, including debt and equity funds, that are used to finance the construction costs of an improvement to a selling utility's assets by an acquiring utility. </w:t>
      </w:r>
      <w:r>
        <w:rPr>
          <w:u w:val="single"/>
        </w:rPr>
        <w:t xml:space="preserve"> </w:t>
      </w:r>
      <w:r>
        <w:rPr>
          <w:u w:val="single"/>
        </w:rPr>
        <w:t xml:space="preserve">An acquiring utility's postacquisition improvements shall accrue an allowance of funds used during construction after the date the cost was incurred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fourth anniversary of the date the asset entered into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inclusion of the asset in the acquiring utility's next rate base case.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Depreciation on an acquiring utility's postacquisition improvements shall be deferred for book and ratemaking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13.4132(a), Water Code, is amended to read as follows:</w:t>
      </w:r>
    </w:p>
    <w:p w:rsidR="003F3435" w:rsidRDefault="0032493E">
      <w:pPr>
        <w:spacing w:line="480" w:lineRule="auto"/>
        <w:ind w:firstLine="720"/>
        <w:jc w:val="both"/>
      </w:pPr>
      <w:r>
        <w:t xml:space="preserve">(a)</w:t>
      </w:r>
      <w:r xml:space="preserve">
        <w:t> </w:t>
      </w:r>
      <w:r xml:space="preserve">
        <w:t> </w:t>
      </w:r>
      <w:r>
        <w:t xml:space="preserve">The utility commission or the commission, after providing to the utility notice and an opportunity to be heard by the commissioners at a utility commission or commission meeting, may authorize a willing person to temporarily manage and operate a utility if the utility:</w:t>
      </w:r>
    </w:p>
    <w:p w:rsidR="003F3435" w:rsidRDefault="0032493E">
      <w:pPr>
        <w:spacing w:line="480" w:lineRule="auto"/>
        <w:ind w:firstLine="1440"/>
        <w:jc w:val="both"/>
      </w:pPr>
      <w:r>
        <w:t xml:space="preserve">(1)</w:t>
      </w:r>
      <w:r xml:space="preserve">
        <w:t> </w:t>
      </w:r>
      <w:r xml:space="preserve">
        <w:t> </w:t>
      </w:r>
      <w:r>
        <w:t xml:space="preserve">has discontinued or abandoned operations or the provision of services;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has been or is being referred to the attorney general for the appointment of a receiver under Section 13.412</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retail water or sewer utility service through fewer than 10,000 taps or connections and violates a final order of the commission by failing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system capacity that is greater than the required raw water or groundwater production rate or the anticipated daily demand of the system;</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a minimum pressure of 35 pounds per square inch throughout the distribution system under normal operating conditions;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accurate or properly calibrated testing equipment or other means of monitoring the effectiveness of a chemical treatment or pathogen inactivation or removal process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(b) of this section, a utility that provides retail water or sewer utility service through fewer than 10,000 taps or connections and that, not more than three years before the effective date of this Act, violated an order described by Section 13.150(b), Water Code, as added by this Act, shall submit a report described by Section 13.150(b), Water Code, as added by this Act, not later than the fifth anniversary of the event.</w:t>
      </w:r>
    </w:p>
    <w:p w:rsidR="003F3435" w:rsidRDefault="0032493E">
      <w:pPr>
        <w:spacing w:line="480" w:lineRule="auto"/>
        <w:ind w:firstLine="720"/>
        <w:jc w:val="both"/>
      </w:pPr>
      <w:r>
        <w:t xml:space="preserve">(b)</w:t>
      </w:r>
      <w:r xml:space="preserve">
        <w:t> </w:t>
      </w:r>
      <w:r xml:space="preserve">
        <w:t> </w:t>
      </w:r>
      <w:r>
        <w:t xml:space="preserve">A utility that provides retail water or sewer utility service through fewer than 10,000 taps or connections and that has an existing obligation to deliver a report under Subsection (a) of this section is not required to deliver another report as a result of the occurrence of an event described by Section 13.150(b), Water Code, as added by this Act, if the event occurs before the date that the utility delivers the report required by Subsection (a)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