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86R7735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managing Medicaid recipient and provider complaints and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531.02132.</w:t>
      </w:r>
      <w:r>
        <w:rPr>
          <w:u w:val="single"/>
        </w:rPr>
        <w:t xml:space="preserve"> </w:t>
      </w:r>
      <w:r>
        <w:rPr>
          <w:u w:val="single"/>
        </w:rPr>
        <w:t xml:space="preserve"> </w:t>
      </w:r>
      <w:r>
        <w:rPr>
          <w:u w:val="single"/>
        </w:rPr>
        <w:t xml:space="preserve">MEDICAID COMPLAINTS AND APPEALS MANAGEMENT SYSTEM.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 includes all types of protests and objections, including a request for a fair hearing and an appeal through a Medicaid managed care organization's internal appeals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 includes a telephone call, request for assistance, inquiry, concern, grievance, and other requests for information related to Medicaid from a recipient or provider.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commission's office of inspector general.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system to manage Medicaid recipient and provider complaints and appeals submitted to the commission, the office, or a managed care organization that contracts with the commission to provide health care services to Medicaid recipients. </w:t>
      </w:r>
      <w:r>
        <w:rPr>
          <w:u w:val="single"/>
        </w:rPr>
        <w:t xml:space="preserve"> </w:t>
      </w:r>
      <w:r>
        <w:rPr>
          <w:u w:val="single"/>
        </w:rPr>
        <w:t xml:space="preserve">The system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commission and the office with immediate access to the complaint or appeal and, if applicable, a denial of the complaint or appeal;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associate each complaint and appeal with the recipient's or provider's Medicaid identification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any Medicaid provider may submit a complaint or appeal through the system, including a provider that does not contract with a managed care organization but treats a recipient enrolled in a managed care plan offered by the managed care organization.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managed care organization shall regularly update the system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status of a complaint or appeal;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organization determined a complaint was valid or invalid and an explanation of that determination;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steps the organization is taking to resolve the complaint or appeal;</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final resolution of the complaint or appeal;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organization denies a complaint or appeal:</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justification for denying the complaint or appeal;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instructions for requesting an appeal of the denial.</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and the office shall develop a policy to determine, with regard to a complaint or appeal submitted to the commission or the office, whether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 the complaint or appeal to a managed care organization to be resolved;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the complaint or appeal internally.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policy described by Subsection (e) must require the commission and the office to consider whether a recipient or provider wishes to remain anonymous.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ensure complaints and appeals are managed consistently, the commission shall ensure the definitions of a complaint and an appeal are consistent among: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employees and divisions within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managed care organizations that contract with the commission to provide health care services to recipients;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commission's office of the ombudsman.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Health and Human Services Commission shall develop the complaint and appeal management system as required by Section 531.02132,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