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86R14022 PMO-D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Farrar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filing fees for the electronic filing system established by the Supreme Court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72.031(c-1),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103.027(b),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fee of $2 charged by a local government or appellate court for an electronic filing transaction as authorized under Section 72.031(c), Government Code, shall be collected. [</w:t>
      </w:r>
      <w:r>
        <w:rPr>
          <w:strike/>
        </w:rPr>
        <w:t xml:space="preserve">This subsection expires September 1, 2019.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