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86R23080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admissibility of expert testimony regarding forensic analyses of physical evidence in a criminal case and to the regulation of certain expert witnesses.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4(a), Article 38.01,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 and implement a reporting system through which a crime laboratory may report professional negligence or professional misconduct;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require a crime laboratory that conducts forensic analyses to report professional negligence or professional misconduct to the commission;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investigate, in a timely manner, any allegation of professional negligence or professional misconduct that would substantially affect the integrity of the results of a forensic analysis conducted by a crime laboratory</w:t>
      </w:r>
      <w:r>
        <w:rPr>
          <w:u w:val="single"/>
        </w:rPr>
        <w:t xml:space="preserve">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investigate professional negligence or professional misconduct by an expert witness relating to a forensic analysis conducted by a crime laboratory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38.35(d)(1), Code of Criminal Procedure,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Except as provided by Subsection (e), a forensic analysis of physical evidence under this article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and expert testimony relating to the evidence are</w:t>
      </w:r>
      <w:r>
        <w:t xml:space="preserve">] not admissible in a criminal action if, at the time of the analysis, the crime laboratory conducting the analysis was not accredited by the commission under Article 38.01.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Articles 38.35(e) and (f), Code of Criminal Procedure,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forensic analysis of physical evidence under this article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and expert testimony relating to the evidence are</w:t>
      </w:r>
      <w:r>
        <w:t xml:space="preserve">] not inadmissible in a criminal action based solely on the accreditation status of the crime laboratory conducting the analysis if the laboratory: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for making proper application, was eligible for accreditation by the commission at the time of the examination or test;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obtains accreditation from the commission before the time of testimony about the examination or test.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This article does not apply to </w:t>
      </w:r>
      <w:r>
        <w:rPr>
          <w:u w:val="single"/>
        </w:rPr>
        <w:t xml:space="preserve">expert testimony under Rule 702, 703, or 704, Texas Rules of Evidence, regarding the forensic analysis of physical evidence performed by an accredited crime laboratory or</w:t>
      </w:r>
      <w:r>
        <w:t xml:space="preserve"> the portion of an autopsy conducted by a medical examiner or other forensic pathologist who is a licensed physician. </w:t>
      </w:r>
      <w:r>
        <w:rPr>
          <w:u w:val="single"/>
        </w:rPr>
        <w:t xml:space="preserve">This article does not limit the commission's duty to investigate professional negligence or professional misconduct by an expert witness relating to a forensic analysis conducted by an accredited crime laboratory, including negligence or misconduct affecting the testimony of the witness.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