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86R12432 AJZ-F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Farrar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admissibility of certain forensic analyses and associated testimony regarding physical evidence in a criminal case.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38.35(d)(1), Code of Criminal Procedure,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(d)(1)</w:t>
      </w:r>
      <w:r xml:space="preserve">
        <w:t> </w:t>
      </w:r>
      <w:r xml:space="preserve">
        <w:t> </w:t>
      </w:r>
      <w:r>
        <w:t xml:space="preserve">Except as provided by Subsection (e), a forensic analysis of physical evidence under this article and expert testimony relating to the evidence are not admissible in a criminal action if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analysis and testimony are presented by the state;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,</w:t>
      </w:r>
      <w:r>
        <w:t xml:space="preserve">] at the time of the analysis, the crime laboratory conducting the analysis was not accredited by the commission under Article 38.01.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Article 38.35, Code of Criminal Procedure, is amended by amending Subsection (e) and adding Subsection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If presented by the state, a</w:t>
      </w:r>
      <w:r>
        <w:t xml:space="preserve"> </w:t>
      </w:r>
      <w:r>
        <w:t xml:space="preserve">[</w:t>
      </w:r>
      <w:r>
        <w:rPr>
          <w:strike/>
        </w:rPr>
        <w:t xml:space="preserve">A</w:t>
      </w:r>
      <w:r>
        <w:t xml:space="preserve">] forensic analysis of physical evidence under this article and expert testimony relating to </w:t>
      </w:r>
      <w:r>
        <w:rPr>
          <w:u w:val="single"/>
        </w:rPr>
        <w:t xml:space="preserve">that</w:t>
      </w:r>
      <w:r>
        <w:t xml:space="preserve"> [</w:t>
      </w:r>
      <w:r>
        <w:rPr>
          <w:strike/>
        </w:rPr>
        <w:t xml:space="preserve">the</w:t>
      </w:r>
      <w:r>
        <w:t xml:space="preserve">] evidence are not inadmissible in a criminal action based solely on the accreditation status of the crime laboratory conducting the analysis if the laboratory: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for making proper application, was eligible for accreditation by the commission at the time of the examination or test;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obtains accreditation from the commission before the time of testimony about the examination or test.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Evidence that a crime laboratory holds a certificate of accreditation issued by the commission under Article 38.01 is not admissible in a criminal action for the purpose of establishing the validity of a forensic analysis performed by the laboratory.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