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86R29892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Farrar</w:t>
      </w:r>
      <w:r xml:space="preserve">
        <w:tab wTab="150" tlc="none" cTlc="0"/>
      </w:r>
      <w:r>
        <w:t xml:space="preserve">H.B.</w:t>
      </w:r>
      <w:r xml:space="preserve">
        <w:t> </w:t>
      </w:r>
      <w:r>
        <w:t xml:space="preserve">No.</w:t>
      </w:r>
      <w:r xml:space="preserve">
        <w:t> </w:t>
      </w:r>
      <w:r>
        <w:t xml:space="preserve">3556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3556:</w:t>
      </w: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C.S.H.B.</w:t>
      </w:r>
      <w:r xml:space="preserve">
        <w:t> </w:t>
      </w:r>
      <w:r>
        <w:t xml:space="preserve">No.</w:t>
      </w:r>
      <w:r xml:space="preserve">
        <w:t> </w:t>
      </w:r>
      <w:r>
        <w:t xml:space="preserve">3556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to a prospective residential tenant regarding a dwelling that is located in a floodplain or that has been damaged by flooding.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92, Property Code, is amended by adding Section 92.0132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92.0132.</w:t>
      </w:r>
      <w:r>
        <w:rPr>
          <w:u w:val="single"/>
        </w:rPr>
        <w:t xml:space="preserve"> </w:t>
      </w:r>
      <w:r>
        <w:rPr>
          <w:u w:val="single"/>
        </w:rPr>
        <w:t xml:space="preserve"> </w:t>
      </w:r>
      <w:r>
        <w:rPr>
          <w:u w:val="single"/>
        </w:rPr>
        <w:t xml:space="preserve">NOTICE REGARDING FLOODPLAIN OR FLOOD DAMAGE.</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"Floodplain" means any area of land that is located in a 100-year floodplain as determined by the most recent flood hazard map published by the Federal Emergency Management Agency under the National Flood Insurance Act of 1968 (42 U.S.C. Section 4001 et seq.).</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"Residential property"</w:t>
      </w:r>
      <w:r>
        <w:rPr>
          <w:u w:val="single"/>
        </w:rPr>
        <w:t xml:space="preserve"> </w:t>
      </w:r>
      <w:r>
        <w:rPr>
          <w:u w:val="single"/>
        </w:rPr>
        <w:t xml:space="preserve">means real property containing one or more dwelling units.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landlord who offers a residential property for lease knowing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is located in a floodplain;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structure on the property has previously received water penetration from a flood caused by rainfall that occurred during the four years preceding the date of the lease.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entering into a lease with a prospective tenant, a landlord or landlord's representative must inform the prospective tenant in a written notice, signed by the landlord and the prospective tenant, that, based on the landlord's knowledge and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residential property that is the subject of the lease is located in a floodplain;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structure on the property has previously received water penetration from a flood caused by rainfall that occurred during the four years preceding the date of the lease.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landlord or a landlord's representative fails to provide the notice required by Subsection (c) and a tenant suffers loss of or damage to the tenant's personal property located in the tenant's leased premises on the residential property and as a result of water penetration into the leased premises from a flood caused by rainfall, the tenant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possession of the premises under the terms of the lease;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terminate the lease after the 10th day after the date the tenant provides notice to terminate the lease to the landlord or the landlord's representative.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lease entered into on or after the effective date of this Act.  A lease entered into before that date is governed by the law applicable to the lease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3556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