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3557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engaging in certain conduct involving a critical infrastructure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Critical Infrastructure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PROTECTION OF CRITICAL INFRASTRUCTURE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  In this chapter, "critical infrastructure facility" has the meaning assigned by Section 30.05(b)(7), Penal Code, and also includes a critical infrastructure facility that is being constructed and all of the equipment and appurtenances used during that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LIABILITY FOR DAMAGE TO CRITICAL INFRASTRUCTURE FACILITY.  (a)  A defendant who engages in conduct constituting an offense under Section 30.05(d)(3)(A)(iii), Penal Code, and who also damages, destroys, vandalizes, defaces, or tampers with a critical infrastructure facility is liable to the property owner for damages arising from that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a defense to liability under this section that a defendant has been acquitted or has not been prosecuted or convicted under Section 30.05(d)(3)(A)(iii), Penal Code, or has been convicted of a different offense or of a different type or class of offense, for the conduct that is alleged to give rise to liability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CERTAIN VICARIOUS LIABILITY.  Regardless of the relationship between the organization and the person, an organization that compensates a person for engaging in conduct occurring on the premises of a critical infrastructure facility is vicariously liable to the property owner, as provided by this chapter, for damages arising from the conduct if the conduct constituted an offense under Section 30.05(d)(3)(A)(iii),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DAMAGES.  (a)  A claimant who prevails in a suit under Sections 424.002 or 424.003 shall be awarded: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 including damages for mental anguish even if an injury other than mental anguish is not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 award under Subsection (a) and notwithstanding Section 41.008(c), Civil Practices and Remedies Code, a claimant who prevails in a suit under Section 424.002 or 424.003 may recover exemplary damages.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CAUSE OF ACTION CUMULATIVE.  The cause of action created by Sections 424.002 or 424.003 is cumulative of any other remedy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NONAPPLICABILITY.  Chapter 27, Civil Practices and Remedies Code, does not apply to a cause of action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