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86R17990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salary paid to an official court reporter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52.051(d),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official district court reporter may not receive:</w:t>
      </w:r>
    </w:p>
    <w:p w:rsidR="003F3435" w:rsidRDefault="0032493E">
      <w:pPr>
        <w:spacing w:line="480" w:lineRule="auto"/>
        <w:ind w:firstLine="1440"/>
        <w:jc w:val="both"/>
      </w:pPr>
      <w:r>
        <w:t xml:space="preserve">(1)</w:t>
      </w:r>
      <w:r xml:space="preserve">
        <w:t> </w:t>
      </w:r>
      <w:r xml:space="preserve">
        <w:t> </w:t>
      </w:r>
      <w:r>
        <w:t xml:space="preserve">a salary that is more than 10 percent greater than the salary received during the preceding budget year without the approval of the commissioners court of each county in the judicial district if the court reporter serves in a county with a population of less than 1 million;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Subdivision (3),</w:t>
      </w:r>
      <w:r>
        <w:t xml:space="preserve"> a percentage increase in salary in a fiscal year that is greater than the average percentage increase in compensation in that fiscal year to all other employees of the county in which the reporter serves if the court reporter serves in a county with a population of 1 million or more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percentage increase in salary in a fiscal year that is greater than the average percentage increase in compensation in that fiscal year to all other employees of the county in which the reporter serves if the court reporter serves in a county with a population of 3.5 million or more, unless approved by the commissioners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