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the production of groundwater in a designated brackish groundwater production zone in the Brush Country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8852, Special District Local Laws Code, is amended by adding Section 8852.109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8852.109.</w:t>
      </w:r>
      <w:r>
        <w:rPr>
          <w:u w:val="single"/>
        </w:rPr>
        <w:t xml:space="preserve"> </w:t>
      </w:r>
      <w:r>
        <w:rPr>
          <w:u w:val="single"/>
        </w:rPr>
        <w:t xml:space="preserve"> </w:t>
      </w:r>
      <w:r>
        <w:rPr>
          <w:u w:val="single"/>
        </w:rPr>
        <w:t xml:space="preserve">EFFECTS OF PRODUCTION FROM DESIGNATED BRACKISH GROUNDWATER PRODUCTION ZONE.  (a) </w:t>
      </w:r>
      <w:r>
        <w:rPr>
          <w:u w:val="single"/>
        </w:rPr>
        <w:t xml:space="preserve"> </w:t>
      </w:r>
      <w:r>
        <w:rPr>
          <w:u w:val="single"/>
        </w:rPr>
        <w:t xml:space="preserve">In reviewing an application for proposed production of groundwater from a well located in a designated brackish groundwater production zone identified under Section 16.060(b)(5), Water Code, the district shall determine whether the proposed production would have a negative effect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water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conditions of any aquifer that overlies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subsidence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existing permit holders or other groundwater users in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approved regional water plan or certified district management plan;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desired future conditions of the aquifers within the district and the managed available groundwater for the aquifers.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determines under Subsection (a) that the proposed production would have a negative effect, the district may impose on the permit requirements or limitations, in addition to the conditions authorized by Chapter 36, Water Code, that are designed to minimize the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8852.109, Special District Local Laws Code, as added by this Act, applies only to an application for production from a well submitted to a groundwater conservation district on or after the effective date of this Act. An application submitted before the effective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