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xml:space="preserve">
        <w:tab wTab="150" tlc="none" cTlc="0"/>
      </w:r>
      <w:r>
        <w:t xml:space="preserve">H.B.</w:t>
      </w:r>
      <w:r xml:space="preserve">
        <w:t> </w:t>
      </w:r>
      <w:r>
        <w:t xml:space="preserve">No.</w:t>
      </w:r>
      <w:r xml:space="preserve">
        <w:t> </w:t>
      </w:r>
      <w:r>
        <w:t xml:space="preserve">3582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 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Criminal Justice; May</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3582</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punishment for certain intoxication offenses, the conditions of bond for defendants charged with certain intoxication offenses, and the eligibility for deferred adjudication community supervision of defendants who committed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magistrate shall require on release that a defendant charged with a subsequent offense under </w:t>
      </w:r>
      <w:r>
        <w:rPr>
          <w:u w:val="single"/>
        </w:rPr>
        <w:t xml:space="preserve">Section 49.04, 49.05, or 49.06</w:t>
      </w:r>
      <w:r>
        <w:t xml:space="preserve">  [</w:t>
      </w:r>
      <w:r>
        <w:rPr>
          <w:strike/>
        </w:rPr>
        <w:t xml:space="preserve">Sections 49.04-49.06</w:t>
      </w:r>
      <w:r>
        <w:t xml:space="preserve">], Penal Code, or an offense under Section </w:t>
      </w:r>
      <w:r>
        <w:rPr>
          <w:u w:val="single"/>
        </w:rPr>
        <w:t xml:space="preserve">49.045,</w:t>
      </w:r>
      <w:r>
        <w:t xml:space="preserve"> 49.07</w:t>
      </w:r>
      <w:r>
        <w:rPr>
          <w:u w:val="single"/>
        </w:rPr>
        <w:t xml:space="preserve">,</w:t>
      </w:r>
      <w:r>
        <w:t xml:space="preserve"> or 49.08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42A.102(b),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49.05, 49.065,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or 49.06, Penal Code, and, at the time of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held a commercial driver's license or a commercial learner's permit;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defendant's alcohol concentration, as defined by Section 49.01, Penal Code, was 0.15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42A.408, Code of Criminal Procedure,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Except as provided by Subsection (e-2), 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judge may waive the ignition interlock requirement under Subsection (e-1) for a defendant if, based on a controlled substance and alcohol evaluation of the defendant, the judge determines and enters in the record that restricting the defendant to the use of an ignition interlock is not necessary for the safety of the community.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49.04 or 49.06, Penal Code; or</w:t>
      </w:r>
    </w:p>
    <w:p w:rsidR="003F3435" w:rsidRDefault="0032493E">
      <w:pPr>
        <w:spacing w:line="480" w:lineRule="auto"/>
        <w:ind w:firstLine="2880"/>
        <w:jc w:val="both"/>
      </w:pPr>
      <w:r>
        <w:rPr>
          <w:u w:val="single"/>
        </w:rP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not eligible to receive an order of nondisclosure of criminal history record information under Section 411.072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deferred adjudication community supervision for an offense other than an offense under Section 49.04 or 49.06, Penal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DEFERRED ADJUDICATION COMMUNITY SUPERVISION; CERTAIN DRIVING WHILE INTOXICATED AND BOATING WHILE INTOXICATED MISDEMEANORS. </w:t>
      </w:r>
      <w:r>
        <w:rPr>
          <w:u w:val="single"/>
        </w:rPr>
        <w:t xml:space="preserve"> </w:t>
      </w:r>
      <w:r>
        <w:rPr>
          <w:u w:val="single"/>
        </w:rPr>
        <w:t xml:space="preserve">(a) </w:t>
      </w:r>
      <w:r>
        <w:rPr>
          <w:u w:val="single"/>
        </w:rPr>
        <w:t xml:space="preserve"> </w:t>
      </w:r>
      <w:r>
        <w:rPr>
          <w:u w:val="single"/>
        </w:rPr>
        <w:t xml:space="preserve">This section applies only to a person who was placed on deferred adjudication community supervision under Subchapter C, Chapter 42A, Code of Criminal Procedure, for a misdemeanor: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Section 49.04 or 49.06,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which no affirmative finding under Article 42A.105(f), Code of Criminal Procedure, was filed in the papers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discharge and dismissal under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Section 411.074;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petition the court that placed the person on deferred adjudication community supervision for an order of nondisclosure of criminal history record information under this section only on or after the second anniversary of the date of completion of the deferred adjudication community supervision and the discharge and dismissal of the case.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49.09(b)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w:t>
      </w:r>
      <w:r>
        <w:rPr>
          <w:u w:val="single"/>
        </w:rPr>
        <w:t xml:space="preserve">49.045,</w:t>
      </w:r>
      <w:r>
        <w:t xml:space="preserve"> 49.05, 49.06,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or 49.06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change in law made by this Act to Article 17.441, Code of Criminal Procedure, applies to a defendant released on bond on or after the effective date of this Act, regardless of whether the offense for which the person was arrested occurred before, on, or after that date.</w:t>
      </w:r>
    </w:p>
    <w:p w:rsidR="003F3435" w:rsidRDefault="0032493E">
      <w:pPr>
        <w:spacing w:line="480" w:lineRule="auto"/>
        <w:ind w:firstLine="720"/>
        <w:jc w:val="both"/>
      </w:pPr>
      <w:r>
        <w:t xml:space="preserve">(b)</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