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86R12383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3586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report of projects requiring federal funding as a result of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418.013,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declaration of a disaster under Section 418.014, the emergency management council, or the office of the governor if the council is not established under this section, shall prepare and submit to the governor, lieutenant governor, comptroller, and legislature a report identifying all projects related to the disaster that require federal funding.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