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86R5378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3593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institutions of higher education to document and maintain information regarding the granting of certain undergraduate course credit to entering freshman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evaluating the policy adopted under Subsection (b), an institution of higher education shall document and maintain information regarding each granting of undergraduate course credit under that policy for achieving a required score on an Advanced Placement examination,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subject of the examination;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score achieved on the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course for which credit was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51.968(h), Education Code, as added by this Act, applies beginning with undergraduate course credit granted in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