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of a parent appointed as a conservator of a child to inform the child's other conservator of certain medical emergencies involving the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153.076, Family Code, is amended by adding Subsections (b-2) and (c-2) and amending Subsection (d)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court shall order that each conservator of a child has a duty to inform the other conservator of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diagnosed with a critical or terminal illness;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custodial parent has decided to withdraw or withhold life-sustaining treatment.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notice required to be made under Subsection (b-2) must be made not later than one hour after the time the conservator received notice of the child's diagnosis or made the decision regarding treatment, as applicable. </w:t>
      </w:r>
      <w:r>
        <w:rPr>
          <w:u w:val="single"/>
        </w:rPr>
        <w:t xml:space="preserve"> </w:t>
      </w:r>
      <w:r>
        <w:rPr>
          <w:u w:val="single"/>
        </w:rPr>
        <w:t xml:space="preserve">The notice required to be made under Subsection (b-2)(2) must provide the conservator receiving notice an opportunity to visit the child for at least one hour without interference from the other conservator or any other person associated with that conservator.</w:t>
      </w:r>
    </w:p>
    <w:p w:rsidR="003F3435" w:rsidRDefault="0032493E">
      <w:pPr>
        <w:spacing w:line="480" w:lineRule="auto"/>
        <w:ind w:firstLine="720"/>
        <w:jc w:val="both"/>
      </w:pPr>
      <w:r>
        <w:t xml:space="preserve">(d)</w:t>
      </w:r>
      <w:r xml:space="preserve">
        <w:t> </w:t>
      </w:r>
      <w:r xml:space="preserve">
        <w:t> </w:t>
      </w:r>
      <w:r>
        <w:t xml:space="preserve">A conservator commits an offense if the conservator fails to provide notice in the manner required by Subsections (b) and (c), [</w:t>
      </w:r>
      <w:r>
        <w:rPr>
          <w:strike/>
        </w:rPr>
        <w:t xml:space="preserve">or</w:t>
      </w:r>
      <w:r>
        <w:t xml:space="preserve">] Subsections (b-1) and (c-1), </w:t>
      </w:r>
      <w:r>
        <w:rPr>
          <w:u w:val="single"/>
        </w:rPr>
        <w:t xml:space="preserve">or Subsections (b-2) and (c-2),</w:t>
      </w:r>
      <w:r>
        <w:t xml:space="preserve"> as applicable. </w:t>
      </w:r>
      <w:r>
        <w:t xml:space="preserve"> </w:t>
      </w:r>
      <w:r>
        <w:t xml:space="preserve">An offense under this subsection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the changes in law made by this Act to Section 153.076, Family Code, apply only to a court order rendered on or after the effective date of this Act. </w:t>
      </w:r>
      <w:r>
        <w:t xml:space="preserve"> </w:t>
      </w:r>
      <w:r>
        <w:t xml:space="preserve">A court order rendered before that date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person may bring a suit to modify a court order rendered before September 1, 2019, under Section 153.076, Family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