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86R11496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unclaimed property that is presumed abandoned.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and Sections 72.1015, 72.1016, 72.1017, 72.102, and 72.104, personal property is presumed abandoned if, for longer than three years:</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existence and</w:t>
      </w:r>
      <w:r>
        <w:t xml:space="preserve">] location of the owner of the property is unknown to the holder of the property; and</w:t>
      </w:r>
    </w:p>
    <w:p w:rsidR="003F3435" w:rsidRDefault="0032493E">
      <w:pPr>
        <w:spacing w:line="480" w:lineRule="auto"/>
        <w:ind w:firstLine="1440"/>
        <w:jc w:val="both"/>
      </w:pPr>
      <w:r>
        <w:t xml:space="preserve">(2)</w:t>
      </w:r>
      <w:r xml:space="preserve">
        <w:t> </w:t>
      </w:r>
      <w:r xml:space="preserve">
        <w:t> </w:t>
      </w:r>
      <w:r>
        <w:t xml:space="preserve">according to the knowledge and records of the holder of the property, a claim to the property has not been asserted or an act of ownership of the property has not been exercised.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w:t>
      </w:r>
      <w:r>
        <w:rPr>
          <w:strike/>
        </w:rPr>
        <w:t xml:space="preserve">a holder of</w:t>
      </w:r>
      <w:r>
        <w:t xml:space="preserve">] property that is presumed abandoned under Chapter 72, Chapter 73, or Chapter 75.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74.103(b), Property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Without regard to whether the property is reported in the aggregate, the</w:t>
      </w:r>
      <w:r>
        <w:t xml:space="preserve"> [</w:t>
      </w:r>
      <w:r>
        <w:rPr>
          <w:strike/>
        </w:rPr>
        <w:t xml:space="preserve">The</w:t>
      </w:r>
      <w:r>
        <w:t xml:space="preserve">] record must be kept for 10 years from </w:t>
      </w:r>
      <w:r>
        <w:rPr>
          <w:u w:val="single"/>
        </w:rPr>
        <w:t xml:space="preserve">the later of:</w:t>
      </w:r>
    </w:p>
    <w:p w:rsidR="003F3435" w:rsidRDefault="0032493E">
      <w:pPr>
        <w:spacing w:line="480" w:lineRule="auto"/>
        <w:ind w:firstLine="1440"/>
        <w:jc w:val="both"/>
      </w:pPr>
      <w:r>
        <w:rPr>
          <w:u w:val="single"/>
        </w:rPr>
        <w:t xml:space="preserve">(1)</w:t>
      </w:r>
      <w:r xml:space="preserve">
        <w:t> </w:t>
      </w:r>
      <w:r xml:space="preserve">
        <w:t> </w:t>
      </w:r>
      <w:r>
        <w:t xml:space="preserve">the date on which the property is reportable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report is filed</w:t>
      </w:r>
      <w:r>
        <w:t xml:space="preserve">[</w:t>
      </w:r>
      <w:r>
        <w:rPr>
          <w:strike/>
        </w:rPr>
        <w:t xml:space="preserve">, regardless of whether the property is reported in the aggregate under Section 74.101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74, Property Code, is amended by adding Sections 74.105 and 74.106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74.105.</w:t>
      </w:r>
      <w:r>
        <w:rPr>
          <w:u w:val="single"/>
        </w:rPr>
        <w:t xml:space="preserve"> </w:t>
      </w:r>
      <w:r>
        <w:rPr>
          <w:u w:val="single"/>
        </w:rPr>
        <w:t xml:space="preserve"> </w:t>
      </w:r>
      <w:r>
        <w:rPr>
          <w:u w:val="single"/>
        </w:rPr>
        <w:t xml:space="preserve">COMBINED REPORTING.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means a group of one or more entities in which a controlling interest is owned by a common owner, either corporate or noncorporate, or by one or more of the member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interest"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corporation, more than 50 percent, owned directly or indirectly, of the total voting power of all classes of stock of the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partnership, more than 50 percent, owned directly or indirectly, of the capital or profits in the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limited liability company, more than 50 percent, owned directly or indirectly, of the total membership interest of the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an association, trust, or other entity, more than 50 percent, owned directly or indirectly, of the beneficial interest in the association, trust, or 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holder that is required to file a property report under this chapter is a member of an affiliated group, the holder shall file one report for the affiliated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affiliated group is a single entity for purposes of the application and enforcement of this 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74.106.</w:t>
      </w:r>
      <w:r>
        <w:rPr>
          <w:u w:val="single"/>
        </w:rPr>
        <w:t xml:space="preserve"> </w:t>
      </w:r>
      <w:r>
        <w:rPr>
          <w:u w:val="single"/>
        </w:rPr>
        <w:t xml:space="preserve"> </w:t>
      </w:r>
      <w:r>
        <w:rPr>
          <w:u w:val="single"/>
        </w:rPr>
        <w:t xml:space="preserve">CONTINUING REPORTING REQUIREMENT.  (a)  A person who is required to file a property report under Section 74.101 in any year shall file a property report in each successive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required to file a property report under this section is not holding any property that is reportable under this chapter, the person shall certify that fact.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74, Property Code, is amended by adding Section 74.206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74.206.</w:t>
      </w:r>
      <w:r>
        <w:rPr>
          <w:u w:val="single"/>
        </w:rPr>
        <w:t xml:space="preserve"> </w:t>
      </w:r>
      <w:r>
        <w:rPr>
          <w:u w:val="single"/>
        </w:rPr>
        <w:t xml:space="preserve"> </w:t>
      </w:r>
      <w:r>
        <w:rPr>
          <w:u w:val="single"/>
        </w:rPr>
        <w:t xml:space="preserve">ADVERTISING AND PROMOTION.  The comptroller may advertise or otherwise promote the unclaimed property program in any available media to further the purposes of this title and to provide effective and efficient notice to reported owners.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74.401(a),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strike/>
        </w:rPr>
        <w:t xml:space="preserve">Subsection (c) or</w:t>
      </w:r>
      <w:r>
        <w:t xml:space="preserve">] Section 74.404, the comptroller </w:t>
      </w:r>
      <w:r>
        <w:rPr>
          <w:u w:val="single"/>
        </w:rPr>
        <w:t xml:space="preserve">may</w:t>
      </w:r>
      <w:r>
        <w:t xml:space="preserve"> [</w:t>
      </w:r>
      <w:r>
        <w:rPr>
          <w:strike/>
        </w:rPr>
        <w:t xml:space="preserve">shall</w:t>
      </w:r>
      <w:r>
        <w:t xml:space="preserve">] sell at public sale </w:t>
      </w:r>
      <w:r>
        <w:rPr>
          <w:u w:val="single"/>
        </w:rPr>
        <w:t xml:space="preserve">any</w:t>
      </w:r>
      <w:r>
        <w:t xml:space="preserve"> [</w:t>
      </w:r>
      <w:r>
        <w:rPr>
          <w:strike/>
        </w:rPr>
        <w:t xml:space="preserve">all</w:t>
      </w:r>
      <w:r>
        <w:t xml:space="preserve">] personal property, other than money and marketable securities, delivered to the comptroller in accordance with Section 74.301.  The comptroller </w:t>
      </w:r>
      <w:r>
        <w:rPr>
          <w:u w:val="single"/>
        </w:rPr>
        <w:t xml:space="preserve">may</w:t>
      </w:r>
      <w:r>
        <w:t xml:space="preserve"> [</w:t>
      </w:r>
      <w:r>
        <w:rPr>
          <w:strike/>
        </w:rPr>
        <w:t xml:space="preserve">shall</w:t>
      </w:r>
      <w:r>
        <w:t xml:space="preserve">] conduct the sale </w:t>
      </w:r>
      <w:r>
        <w:rPr>
          <w:u w:val="single"/>
        </w:rPr>
        <w:t xml:space="preserve">at the location and</w:t>
      </w:r>
      <w:r>
        <w:t xml:space="preserve"> in the </w:t>
      </w:r>
      <w:r>
        <w:rPr>
          <w:u w:val="single"/>
        </w:rPr>
        <w:t xml:space="preserve">manner</w:t>
      </w:r>
      <w:r>
        <w:t xml:space="preserve"> [</w:t>
      </w:r>
      <w:r>
        <w:rPr>
          <w:strike/>
        </w:rPr>
        <w:t xml:space="preserve">city in this state</w:t>
      </w:r>
      <w:r>
        <w:t xml:space="preserve">] that the comptroller determines affords the most favorable market for the particular property.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74.501(d) and (e), Property Code, are amended to read as follows:</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and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or</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 and 201.002, Estates Code; or</w:t>
      </w:r>
    </w:p>
    <w:p w:rsidR="003F3435" w:rsidRDefault="0032493E">
      <w:pPr>
        <w:spacing w:line="480" w:lineRule="auto"/>
        <w:ind w:firstLine="2160"/>
        <w:jc w:val="both"/>
      </w:pPr>
      <w:r>
        <w:t xml:space="preserve">(B)</w:t>
      </w:r>
      <w:r xml:space="preserve">
        <w:t> </w:t>
      </w:r>
      <w:r xml:space="preserve">
        <w:t> </w:t>
      </w:r>
      <w:r>
        <w:t xml:space="preserve">the court-appointed administrator of the owner's estate</w:t>
      </w:r>
      <w:r>
        <w:rPr>
          <w:u w:val="single"/>
        </w:rPr>
        <w:t xml:space="preserve">, if the administrator was appointed before the fourth anniversary of the date of the death of the owner</w:t>
      </w:r>
      <w:r>
        <w:t xml:space="preserv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an affidavit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(e)</w:t>
      </w:r>
      <w:r xml:space="preserve">
        <w:t> </w:t>
      </w:r>
      <w:r xml:space="preserve">
        <w:t> </w:t>
      </w:r>
      <w:r>
        <w:t xml:space="preserve">Except as provided by Subsection (f),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corporation was revived for the purpose of making a claim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submitting the claim was not an authorized representative of the corporation at the time of the corporation's forfeiture, dissolution, or termination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74.702, Property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the application and enforcement of this title</w:t>
      </w:r>
      <w:r>
        <w:t xml:space="preserve"> [</w:t>
      </w:r>
      <w:r>
        <w:rPr>
          <w:strike/>
        </w:rPr>
        <w:t xml:space="preserve">To enforce this chapter and to determine whether reports have been made as required by this chapter</w:t>
      </w:r>
      <w:r>
        <w:t xml:space="preserve">], the comptroller, the attorney general, or an authorized agent of either, </w:t>
      </w:r>
      <w:r>
        <w:rPr>
          <w:u w:val="single"/>
        </w:rPr>
        <w:t xml:space="preserve">may</w:t>
      </w:r>
      <w:r>
        <w:t xml:space="preserve"> at any reasonable time </w:t>
      </w:r>
      <w:r>
        <w:rPr>
          <w:u w:val="single"/>
        </w:rPr>
        <w:t xml:space="preserve">and place</w:t>
      </w:r>
      <w:r>
        <w:t xml:space="preserve">, [</w:t>
      </w:r>
      <w:r>
        <w:rPr>
          <w:strike/>
        </w:rPr>
        <w:t xml:space="preserve">may</w:t>
      </w:r>
      <w:r>
        <w:t xml:space="preserve">] examine the books and records of any </w:t>
      </w:r>
      <w:r>
        <w:rPr>
          <w:u w:val="single"/>
        </w:rPr>
        <w:t xml:space="preserve">person to determine whether the person has complied with this title</w:t>
      </w:r>
      <w:r>
        <w:t xml:space="preserve"> [</w:t>
      </w:r>
      <w:r>
        <w:rPr>
          <w:strike/>
        </w:rPr>
        <w:t xml:space="preserve">holder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applies to any books, records, papers, information, or other objects determined by the comptroller or attorney general to be necessary to conduct a complete examination under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H, Chapter 74, Property Code, is amended by adding Section 74.7021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74.7021.</w:t>
      </w:r>
      <w:r>
        <w:rPr>
          <w:u w:val="single"/>
        </w:rPr>
        <w:t xml:space="preserve"> </w:t>
      </w:r>
      <w:r>
        <w:rPr>
          <w:u w:val="single"/>
        </w:rPr>
        <w:t xml:space="preserve"> </w:t>
      </w:r>
      <w:r>
        <w:rPr>
          <w:u w:val="single"/>
        </w:rPr>
        <w:t xml:space="preserve">LIMITATION PERIOD FOR EXAMINATION.  (a)  The comptroller or attorney general may not begin an examination relating to the reporting, payment, or delivery of property under this chapter after the seventh anniversary of the date a person filed a property report under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 provided by 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filed a false or fraudulent property report with the intent to avoid delivery of property as required by this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report for a period has not been filed;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 grants a petition to compel the person to submit to an examination under this chapter, deliver property, or file a property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 a person is presumed to have acted with intent to avoid delivery of property as required by this title if, after correction of a report, the amount of property to be delivered under this title exceeds the amount initially reported by at least 25 percent.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74.704, Property Code, is amended to read as follows:</w:t>
      </w:r>
    </w:p>
    <w:p w:rsidR="003F3435" w:rsidRDefault="0032493E">
      <w:pPr>
        <w:spacing w:line="480" w:lineRule="auto"/>
        <w:ind w:firstLine="720"/>
        <w:jc w:val="both"/>
      </w:pPr>
      <w:r>
        <w:t xml:space="preserve">Sec.</w:t>
      </w:r>
      <w:r xml:space="preserve">
        <w:t> </w:t>
      </w:r>
      <w:r>
        <w:t xml:space="preserve">74.704.</w:t>
      </w:r>
      <w:r xml:space="preserve">
        <w:t> </w:t>
      </w:r>
      <w:r xml:space="preserve">
        <w:t> </w:t>
      </w:r>
      <w:r>
        <w:t xml:space="preserve">ASSISTANCE IN ENFORCEMENT.  </w:t>
      </w:r>
      <w:r>
        <w:rPr>
          <w:u w:val="single"/>
        </w:rPr>
        <w:t xml:space="preserve">(a)  If the comptroller requests, the attorney general shall assist the comptroller in enforcing this title.</w:t>
      </w:r>
    </w:p>
    <w:p w:rsidR="003F3435" w:rsidRDefault="0032493E">
      <w:pPr>
        <w:spacing w:line="480" w:lineRule="auto"/>
        <w:ind w:firstLine="720"/>
        <w:jc w:val="both"/>
      </w:pPr>
      <w:r>
        <w:rPr>
          <w:u w:val="single"/>
        </w:rPr>
        <w:t xml:space="preserve">(b)</w:t>
      </w:r>
      <w:r xml:space="preserve">
        <w:t> </w:t>
      </w:r>
      <w:r xml:space="preserve">
        <w:t> </w:t>
      </w:r>
      <w:r>
        <w:t xml:space="preserve">If the comptroller or the attorney general requests, the </w:t>
      </w:r>
      <w:r>
        <w:rPr>
          <w:u w:val="single"/>
        </w:rPr>
        <w:t xml:space="preserve">state auditor</w:t>
      </w:r>
      <w:r>
        <w:t xml:space="preserve"> [</w:t>
      </w:r>
      <w:r>
        <w:rPr>
          <w:strike/>
        </w:rPr>
        <w:t xml:space="preserve">State Auditor</w:t>
      </w:r>
      <w:r>
        <w:t xml:space="preserve">], </w:t>
      </w:r>
      <w:r>
        <w:rPr>
          <w:u w:val="single"/>
        </w:rPr>
        <w:t xml:space="preserve">banking commissioner</w:t>
      </w:r>
      <w:r>
        <w:t xml:space="preserve"> [</w:t>
      </w:r>
      <w:r>
        <w:rPr>
          <w:strike/>
        </w:rPr>
        <w:t xml:space="preserve">Banking Commissioner of Texas</w:t>
      </w:r>
      <w:r>
        <w:t xml:space="preserve">], securities commissioner, commissioner of insurance, savings and mortgage lending commissioner, Credit Union Commission, Department of Public Safety of the State of Texas, </w:t>
      </w:r>
      <w:r>
        <w:rPr>
          <w:u w:val="single"/>
        </w:rPr>
        <w:t xml:space="preserve">or Texas Workforce Commission, a</w:t>
      </w:r>
      <w:r>
        <w:t xml:space="preserve"> [</w:t>
      </w:r>
      <w:r>
        <w:rPr>
          <w:strike/>
        </w:rPr>
        <w:t xml:space="preserve">or any</w:t>
      </w:r>
      <w:r>
        <w:t xml:space="preserve">] district or county attorney</w:t>
      </w:r>
      <w:r>
        <w:rPr>
          <w:u w:val="single"/>
        </w:rPr>
        <w:t xml:space="preserve">, or any other state agency or political subdivision of this state</w:t>
      </w:r>
      <w:r>
        <w:t xml:space="preserve"> shall assist the comptroller or attorney general in enforcing this 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state agency or political subdivision may not impose a charge for providing a copy of public information requested by the comptroller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74.709(a), Property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the comptroller, the attorney general shall bring an action in district court, in the name of the state, to compel a </w:t>
      </w:r>
      <w:r>
        <w:rPr>
          <w:u w:val="single"/>
        </w:rPr>
        <w:t xml:space="preserve">person</w:t>
      </w:r>
      <w:r>
        <w:t xml:space="preserve"> [</w:t>
      </w:r>
      <w:r>
        <w:rPr>
          <w:strike/>
        </w:rPr>
        <w:t xml:space="preserve">holder</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examination of records in accordance with this chapter;</w:t>
      </w:r>
    </w:p>
    <w:p w:rsidR="003F3435" w:rsidRDefault="0032493E">
      <w:pPr>
        <w:spacing w:line="480" w:lineRule="auto"/>
        <w:ind w:firstLine="1440"/>
        <w:jc w:val="both"/>
      </w:pPr>
      <w:r>
        <w:rPr>
          <w:u w:val="single"/>
        </w:rPr>
        <w:t xml:space="preserve">(2)</w:t>
      </w:r>
      <w:r xml:space="preserve">
        <w:t> </w:t>
      </w:r>
      <w:r xml:space="preserve">
        <w:t> </w:t>
      </w:r>
      <w:r>
        <w:t xml:space="preserve">deliver property</w:t>
      </w:r>
      <w:r>
        <w:rPr>
          <w:u w:val="singl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file a property report.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H, Chapter 74, Property Code, is amended by adding Sections 74.711 and 74.712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74.711.</w:t>
      </w:r>
      <w:r>
        <w:rPr>
          <w:u w:val="single"/>
        </w:rPr>
        <w:t xml:space="preserve"> </w:t>
      </w:r>
      <w:r>
        <w:rPr>
          <w:u w:val="single"/>
        </w:rPr>
        <w:t xml:space="preserve"> </w:t>
      </w:r>
      <w:r>
        <w:rPr>
          <w:u w:val="single"/>
        </w:rPr>
        <w:t xml:space="preserve">AUTHORITY TO TAKE TESTIMONY AND ISSUE ADMINISTRATIVE SUBPOENAS.  (a)  To enforce this title,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testimony;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subpoenas to compel any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appear and give testimony under oath at a time and place reasonable under the circumstances;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 relevant books, records, documents, or other data, in whatever form, for audit, inspection, and copying.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delegate the authority granted under this section to take testimony, administer oaths, and issue subpoenas to an attorney employed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authorized to serve process under the Texas Rules of Civil Procedure may serve a subpoena issued under this section.  The person shall serve the subpoena in accordance with the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74.712.</w:t>
      </w:r>
      <w:r>
        <w:rPr>
          <w:u w:val="single"/>
        </w:rPr>
        <w:t xml:space="preserve"> </w:t>
      </w:r>
      <w:r>
        <w:rPr>
          <w:u w:val="single"/>
        </w:rPr>
        <w:t xml:space="preserve"> </w:t>
      </w:r>
      <w:r>
        <w:rPr>
          <w:u w:val="single"/>
        </w:rPr>
        <w:t xml:space="preserve">ENFORCEMENT OF SUBPOENAS.  (a)  If the person to whom a subpoena is directed under Section 74.711 fails to comply with the subpoena, or fails to file a motion to quash or otherwise demand a pre-compliance review of the subpoena, within the return date specified in the subpoena, the attorney general shall, on the request of the comptroller, bring suit to enforce the subpoena.  The suit may be brought in a district court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determines that the subpoena was issued in good faith shall order compliance with the subpoena.  The court may apply penalties for civil and criminal contempt otherwise available at law if a person refuses to comply with the court's order.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74.401(c), Property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limitation provided by Section 74.7021, Property Code, as added by this Act, applies only to an examination commenced on or after the effective date of this Act.  An examination commenced before the effective date of this Act is governed by the law in effect on the date the examination commenced,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