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86R16830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3601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accreditation by the Texas Higher Education Coordinating Board of competency-based education degree plans for members of the Texas military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61.0521.</w:t>
      </w:r>
      <w:r>
        <w:rPr>
          <w:u w:val="single"/>
        </w:rPr>
        <w:t xml:space="preserve"> </w:t>
      </w:r>
      <w:r>
        <w:rPr>
          <w:u w:val="single"/>
        </w:rPr>
        <w:t xml:space="preserve"> </w:t>
      </w:r>
      <w:r>
        <w:rPr>
          <w:u w:val="single"/>
        </w:rPr>
        <w:t xml:space="preserve">ACCREDITATION OF COMPETENCY-BASED EDUCATION DEGREE PLANS FOR MEMBERS OF TEXAS MILITARY FORCES.  (a) </w:t>
      </w:r>
      <w:r>
        <w:rPr>
          <w:u w:val="single"/>
        </w:rPr>
        <w:t xml:space="preserve"> </w:t>
      </w:r>
      <w:r>
        <w:rPr>
          <w:u w:val="single"/>
        </w:rPr>
        <w:t xml:space="preserve">In this section, "Texas military forces"</w:t>
      </w:r>
      <w:r>
        <w:rPr>
          <w:u w:val="single"/>
        </w:rPr>
        <w:t xml:space="preserve"> </w:t>
      </w:r>
      <w:r>
        <w:rPr>
          <w:u w:val="single"/>
        </w:rPr>
        <w:t xml:space="preserve">has the meaning assigned by Section 437.001,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accredit, or otherwise approve an accrediting organization recognized by the board to accredit, a degree plan offered in coordination with the Texas Military Department that uses alternative methods of determining mastery of program content, including competency-based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for a degree accredited under this section,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graduated from high school or received the equivalent of a high school diploma;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satisfy the minimum active military service obligation to the Texas military forces for a degree plan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an associate degree, two years of service;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baccalaureate degree, four years of service;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graduate degree, six years of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 and meet the standards of the degree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propose rules to</w:t>
      </w:r>
      <w:r>
        <w:rPr>
          <w:u w:val="single"/>
        </w:rPr>
        <w:t xml:space="preserve"> </w:t>
      </w:r>
      <w:r>
        <w:rPr>
          <w:u w:val="single"/>
        </w:rPr>
        <w:t xml:space="preserve">establish requirements under which</w:t>
      </w:r>
      <w:r>
        <w:rPr>
          <w:u w:val="single"/>
        </w:rPr>
        <w:t xml:space="preserve"> </w:t>
      </w:r>
      <w:r>
        <w:rPr>
          <w:u w:val="single"/>
        </w:rPr>
        <w:t xml:space="preserve">a person's training and experience acquired during the person's military service serves as proof of the person's demonstration of subject matter knowledge if that training and experience are verified by the Texas Military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Higher Education Coordinating Board shall adopt rules for the implementation and administration of the accreditation of competency-based education degree plans for members of the Texas military forces established under Section 61.0521,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degree plans offered for enrollment for the 2020-2021 academic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