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86R16839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3602:</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3602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domestic corporations and other domestic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6.252, Business Organizations Code, is amended by amending Subsections (a), (b), and (c) and adding Subsections (c-1), (c-2), (c-3), (c-4), and (g) to read as follows:</w:t>
      </w:r>
    </w:p>
    <w:p w:rsidR="003F3435" w:rsidRDefault="0032493E">
      <w:pPr>
        <w:spacing w:line="480" w:lineRule="auto"/>
        <w:ind w:firstLine="720"/>
        <w:jc w:val="both"/>
      </w:pPr>
      <w:r>
        <w:t xml:space="preserve">(a)</w:t>
      </w:r>
      <w:r xml:space="preserve">
        <w:t> </w:t>
      </w:r>
      <w:r xml:space="preserve">
        <w:t> </w:t>
      </w:r>
      <w:r>
        <w:t xml:space="preserve">Except as provided by this code or the governing documents, any number of owners of a domestic entity, or any number of owners of the domestic entity and the domestic entity itself, may enter into a written voting agreement </w:t>
      </w:r>
      <w:r>
        <w:rPr>
          <w:u w:val="single"/>
        </w:rPr>
        <w:t xml:space="preserve">that is not set forth in the domestic entity's governing documents</w:t>
      </w:r>
      <w:r>
        <w:t xml:space="preserve"> to provide the manner of voting of the ownership interests of the domestic entity.  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rPr>
          <w:u w:val="single"/>
        </w:rPr>
        <w:t xml:space="preserve">may</w:t>
      </w:r>
      <w:r>
        <w:t xml:space="preserve"> [</w:t>
      </w:r>
      <w:r>
        <w:rPr>
          <w:strike/>
        </w:rPr>
        <w:t xml:space="preserve">shall</w:t>
      </w:r>
      <w:r>
        <w:t xml:space="preserve">]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rPr>
          <w:u w:val="single"/>
        </w:rPr>
        <w:t xml:space="preserve">if deposited as provided by Subdivision (1),</w:t>
      </w:r>
      <w:r>
        <w:t xml:space="preserve">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w:t>
      </w:r>
      <w:r>
        <w:rPr>
          <w:u w:val="single"/>
        </w:rPr>
        <w:t xml:space="preserve">owner</w:t>
      </w:r>
      <w:r>
        <w:t xml:space="preserve"> [</w:t>
      </w:r>
      <w:r>
        <w:rPr>
          <w:strike/>
        </w:rPr>
        <w:t xml:space="preserve">holder</w:t>
      </w:r>
      <w:r>
        <w:t xml:space="preserve">] of an ownership interest that is the subject of the agreement </w:t>
      </w:r>
      <w:r>
        <w:rPr>
          <w:u w:val="single"/>
        </w:rPr>
        <w:t xml:space="preserve">if the owner executes the voting agreement or acknowledges in writing that the owner or the ownership interest is bound by the agreement</w:t>
      </w:r>
      <w:r>
        <w:t xml:space="preserve"> </w:t>
      </w:r>
      <w:r>
        <w:t xml:space="preserve">[</w:t>
      </w:r>
      <w:r>
        <w:rPr>
          <w:strike/>
        </w:rPr>
        <w:t xml:space="preserve">, and any successor or transferee of the holder,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voting agreement is noted conspicuously on the certificate representing the ownership interests;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notation of the voting agreement is contained in a notice sent by or on behalf of the domestic entity in accordance with Section 3.205, if the ownership interest is not represented by a certificate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notice or actual knowledge of the voting agreement at or before the time of transfer to the subsequent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transferee for value and receives notice or obtains actual knowledge of the voting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acknowledges in writing that the subsequent owner or the ownership interest is bound by the voting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  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10.354(b)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case of a plan of merger, conversion, or exchange, other than a plan of merger pursuant to Section 21.459(c),</w:t>
      </w:r>
      <w:r>
        <w:t xml:space="preserve"> </w:t>
      </w:r>
      <w:r>
        <w:t xml:space="preserve">is part of a class or series of ownership interests, or depository receipts in respect of ownership interests, that [</w:t>
      </w:r>
      <w:r>
        <w:rPr>
          <w:strike/>
        </w:rPr>
        <w:t xml:space="preserve">are</w:t>
      </w:r>
      <w:r>
        <w:t xml:space="preserve">], on the record date set for purposes of determining which owners are entitled to vote on the plan of merger, conversion, or exchange, as appropriate</w:t>
      </w:r>
      <w:r>
        <w:rPr>
          <w:u w:val="single"/>
        </w:rPr>
        <w:t xml:space="preserve">, are either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listed on a national securities exchange;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held of record by at least 2,000 owners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plan of merger pursuant to Section 21.459(c), is part of a class or series of ownership interests, or depository receipts in respect of ownership interests, that, immediately before the date the board of directors of the corporation that issued the ownership interest held, directly or indirectly, by the owner approves the plan of merger, are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on a national securities exchange;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held of record by at least 2,000 owners</w:t>
      </w:r>
      <w:r>
        <w:t xml:space="preserve">;</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w:t>
      </w:r>
      <w:r>
        <w:rPr>
          <w:u w:val="single"/>
        </w:rPr>
        <w:t xml:space="preserve">, or fractional depository receipts in respect of ownership interests,</w:t>
      </w:r>
      <w:r>
        <w:t xml:space="preserve">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w:t>
      </w:r>
      <w:r>
        <w:rPr>
          <w:u w:val="single"/>
        </w:rPr>
        <w:t xml:space="preserve">, or fractional depository receipts in respect of ownership interests,</w:t>
      </w:r>
      <w:r>
        <w:t xml:space="preserve">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w:t>
      </w:r>
      <w:r>
        <w:rPr>
          <w:strike/>
        </w:rPr>
        <w:t xml:space="preserve">either</w:t>
      </w:r>
      <w:r>
        <w:t xml:space="preserve">] to a domestic entity that is a subsidiary with respect to a merger under Section 10.006 [</w:t>
      </w:r>
      <w:r>
        <w:rPr>
          <w:strike/>
        </w:rPr>
        <w:t xml:space="preserve">or to a corporation with respect to a merger under Section 21.459(c)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10.355(d) and (f), Business Organizations Code, are amended to read as follows:</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w:t>
      </w:r>
      <w:r>
        <w:rPr>
          <w:strike/>
        </w:rPr>
        <w:t xml:space="preserve">tender or exchange</w:t>
      </w:r>
      <w:r>
        <w:t xml:space="preserve">] offer described by Section 21.459(c)(2),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w:t>
      </w:r>
      <w:r>
        <w:rPr>
          <w:strike/>
        </w:rPr>
        <w:t xml:space="preserve">tender or exchange</w:t>
      </w:r>
      <w:r>
        <w:t xml:space="preserve">] offer described by Section 21.459(c)(2), to each shareholder who did not tender the shareholder's shares in that offer.</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  If the second notice is given after the later of the date on which the [</w:t>
      </w:r>
      <w:r>
        <w:rPr>
          <w:strike/>
        </w:rPr>
        <w:t xml:space="preserve">tender or exchange</w:t>
      </w:r>
      <w:r>
        <w:t xml:space="preserve">] offer described by Section 21.459(c)(2) is consummated or the 20th day after the date notice under Subsection (b-1) is given, then the second notice is required to be given to only those shareholders who have made a demand under Section 10.356(b)(3).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10.354,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10.355(e)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10.355(d)(2)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10.006;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10.355(b-1) or the date of the consummation of the [</w:t>
      </w:r>
      <w:r>
        <w:rPr>
          <w:strike/>
        </w:rPr>
        <w:t xml:space="preserve">tender or exchange</w:t>
      </w:r>
      <w:r>
        <w:t xml:space="preserve">] offer described by Section 21.459(c)(2), whichever is later, if the action is a merger effected under Section 21.459(c).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21.002, Business Organizations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"Share transfer records" means one or more records maintained by or on behalf of a corporation in accordance with Section 3.151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21.305(b),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w:t>
      </w:r>
      <w:r>
        <w:rPr>
          <w:u w:val="single"/>
        </w:rPr>
        <w:t xml:space="preserve">, unless otherwise provided by the terms of the class or series of shares contained in the certificate of 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21.372(a) and (a-1),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of each meeting of the shareholders of a corporation, [</w:t>
      </w:r>
      <w:r>
        <w:rPr>
          <w:strike/>
        </w:rPr>
        <w:t xml:space="preserve">an officer or agent of the corporation who is in charge of the corporation's share transfer records shall prepare</w:t>
      </w:r>
      <w:r>
        <w:t xml:space="preserve">] an alphabetical list of the shareholders entitled to vote at the meeting or at any adjournment of the meeting </w:t>
      </w:r>
      <w:r>
        <w:rPr>
          <w:u w:val="single"/>
        </w:rPr>
        <w:t xml:space="preserve">shall be prepared by or on behalf of the corporation</w:t>
      </w:r>
      <w:r>
        <w:t xml:space="preserve">.  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w:t>
      </w:r>
      <w:r>
        <w:rPr>
          <w:u w:val="single"/>
        </w:rPr>
        <w:t xml:space="preserve">data system</w:t>
      </w:r>
      <w:r>
        <w:t xml:space="preserve"> [</w:t>
      </w:r>
      <w:r>
        <w:rPr>
          <w:strike/>
        </w:rPr>
        <w:t xml:space="preserve">network</w:t>
      </w:r>
      <w:r>
        <w:t xml:space="preserve">] if the information required to gain access to the list is provided with notice of the meeting.  Section 21.353(c), Section 21.354(a-1), and this subsection may not be construed to require a corporation to include any electronic contact information of a shareholder on the list.  A corporation that elects to make the list available on an electronic </w:t>
      </w:r>
      <w:r>
        <w:rPr>
          <w:u w:val="single"/>
        </w:rPr>
        <w:t xml:space="preserve">data system</w:t>
      </w:r>
      <w:r>
        <w:t xml:space="preserve"> </w:t>
      </w:r>
      <w:r>
        <w:t xml:space="preserve">[</w:t>
      </w:r>
      <w:r>
        <w:rPr>
          <w:strike/>
        </w:rPr>
        <w:t xml:space="preserve">network</w:t>
      </w:r>
      <w:r>
        <w:t xml:space="preserve">] must take reasonable measures to ensure the information is available only to shareholders of the corporation.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21.459, Business Organizations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w:t>
      </w:r>
      <w:r>
        <w:rPr>
          <w:u w:val="single"/>
        </w:rPr>
        <w:t xml:space="preserve">has a class or series of</w:t>
      </w:r>
      <w:r>
        <w:t xml:space="preserve"> [</w:t>
      </w:r>
      <w:r>
        <w:rPr>
          <w:strike/>
        </w:rPr>
        <w:t xml:space="preserve">whose</w:t>
      </w:r>
      <w:r>
        <w:t xml:space="preserve">] shares </w:t>
      </w:r>
      <w:r>
        <w:rPr>
          <w:u w:val="single"/>
        </w:rPr>
        <w:t xml:space="preserve">that</w:t>
      </w:r>
      <w:r>
        <w:t xml:space="preserve"> are, immediately before the date its board of directors approves the plan of merger, either listed on a national securities exchange or held of record by at least 2,000 shareholders.  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 [</w:t>
      </w:r>
      <w:r>
        <w:rPr>
          <w:strike/>
        </w:rPr>
        <w:t xml:space="preserve">described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an organization consummates </w:t>
      </w:r>
      <w:r>
        <w:rPr>
          <w:u w:val="single"/>
        </w:rPr>
        <w:t xml:space="preserve">an</w:t>
      </w:r>
      <w:r>
        <w:t xml:space="preserve"> [</w:t>
      </w:r>
      <w:r>
        <w:rPr>
          <w:strike/>
        </w:rPr>
        <w:t xml:space="preserve">a tender or exchange</w:t>
      </w:r>
      <w:r>
        <w:t xml:space="preserve">] offer for all of the outstanding shares of the corporation on the terms provided in the plan of merger that, absent this subsection, would be entitled to vote on the approval of the plan of merger, except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rPr>
          <w:u w:val="single"/>
        </w:rPr>
        <w:t xml:space="preserve">(B)</w:t>
      </w:r>
      <w:r xml:space="preserve">
        <w:t> </w:t>
      </w:r>
      <w:r xml:space="preserve">
        <w:t> </w:t>
      </w:r>
      <w:r>
        <w:t xml:space="preserve">the offer may exclude </w:t>
      </w:r>
      <w:r>
        <w:rPr>
          <w:u w:val="single"/>
        </w:rPr>
        <w:t xml:space="preserve">any excluded</w:t>
      </w:r>
      <w:r>
        <w:t xml:space="preserve"> shares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may consummate separate offers for separate classes or series of shares</w:t>
      </w:r>
      <w:r>
        <w:t xml:space="preserve"> of the corporation [</w:t>
      </w:r>
      <w:r>
        <w:rPr>
          <w:strike/>
        </w:rPr>
        <w:t xml:space="preserve">owned at the time of the commencement of the offer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corporation;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organization making the offer;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person who owns, directly or indirectly, all of the ownership interests in the organization making the offer;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direct or indirect wholly owned subsidiary of a person described by Paragraph (A), (B), or (C)</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immediately following the consummation of the offer,</w:t>
      </w:r>
      <w:r>
        <w:t xml:space="preserve"> </w:t>
      </w:r>
      <w:r>
        <w:t xml:space="preserve">shares that are irrevocably accepted for purchase or exchange pursuant to the consummation of the offer [</w:t>
      </w:r>
      <w:r>
        <w:rPr>
          <w:strike/>
        </w:rPr>
        <w:t xml:space="preserve">described by Subdivision (2)</w:t>
      </w:r>
      <w:r>
        <w:t xml:space="preserve">] and that are received by the depository before the expiration of the offer</w:t>
      </w:r>
      <w:r>
        <w:rPr>
          <w:u w:val="single"/>
        </w:rPr>
        <w:t xml:space="preserve">, together with</w:t>
      </w:r>
      <w:r>
        <w:t xml:space="preserve"> [</w:t>
      </w:r>
      <w:r>
        <w:rPr>
          <w:strike/>
        </w:rPr>
        <w:t xml:space="preserve">in addition to</w:t>
      </w:r>
      <w:r>
        <w:t xml:space="preserve">] the shares that are otherwise owned by the consummating organization </w:t>
      </w:r>
      <w:r>
        <w:rPr>
          <w:u w:val="single"/>
        </w:rPr>
        <w:t xml:space="preserve">or its qualified affiliates and any rollover shares,</w:t>
      </w:r>
      <w:r>
        <w:t xml:space="preserve"> equal at least the percentage of the shares </w:t>
      </w:r>
      <w:r>
        <w:rPr>
          <w:u w:val="single"/>
        </w:rPr>
        <w:t xml:space="preserve">of the corporation</w:t>
      </w:r>
      <w:r>
        <w:t xml:space="preserve">, and of each class or series of those shares[</w:t>
      </w:r>
      <w:r>
        <w:rPr>
          <w:strike/>
        </w:rPr>
        <w:t xml:space="preserve">, of the corporation</w:t>
      </w:r>
      <w:r>
        <w:t xml:space="preserve">]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21.457 and, if applicable, Section 21.458;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w:t>
      </w:r>
      <w:r>
        <w:rPr>
          <w:u w:val="single"/>
        </w:rPr>
        <w:t xml:space="preserve">or one of its qualified affiliates</w:t>
      </w:r>
      <w:r>
        <w:t xml:space="preserve"> [</w:t>
      </w:r>
      <w:r>
        <w:rPr>
          <w:strike/>
        </w:rPr>
        <w:t xml:space="preserve">described by Subdivision (2)</w:t>
      </w:r>
      <w:r>
        <w:t xml:space="preserve">]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w:t>
      </w:r>
      <w:r>
        <w:rPr>
          <w:u w:val="single"/>
        </w:rPr>
        <w:t xml:space="preserve">, other than excluded shares,</w:t>
      </w:r>
      <w:r>
        <w:t xml:space="preserve"> of each class or series of the corporation that is the subject of and </w:t>
      </w:r>
      <w:r>
        <w:rPr>
          <w:u w:val="single"/>
        </w:rPr>
        <w:t xml:space="preserve">is</w:t>
      </w:r>
      <w:r>
        <w:t xml:space="preserve"> not irrevocably accepted for purchase or exchange in the offer [</w:t>
      </w:r>
      <w:r>
        <w:rPr>
          <w:strike/>
        </w:rPr>
        <w:t xml:space="preserve">described by Subdivision (2)</w:t>
      </w:r>
      <w:r>
        <w:t xml:space="preserve">] is to be converted or exchanged in the merger into, or into the right to receive, the same amount and kind of consideration, as described by Section 10.002(a)(5),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10.355(d)(3)(B), 10.355(f), and 10.356(b)(3)(E)(iv):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w:t>
      </w:r>
      <w:r>
        <w:rPr>
          <w:u w:val="single"/>
        </w:rPr>
        <w:t xml:space="preserve">an</w:t>
      </w:r>
      <w:r>
        <w:t xml:space="preserve"> [</w:t>
      </w:r>
      <w:r>
        <w:rPr>
          <w:strike/>
        </w:rPr>
        <w:t xml:space="preserve">a tender or exchange</w:t>
      </w:r>
      <w:r>
        <w:t xml:space="preserve">]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w:t>
      </w:r>
      <w:r>
        <w:rPr>
          <w:u w:val="single"/>
        </w:rPr>
        <w:t xml:space="preserve">an</w:t>
      </w:r>
      <w:r>
        <w:t xml:space="preserve"> [</w:t>
      </w:r>
      <w:r>
        <w:rPr>
          <w:strike/>
        </w:rPr>
        <w:t xml:space="preserve">the</w:t>
      </w:r>
      <w:r>
        <w:t xml:space="preserve">] offer [</w:t>
      </w:r>
      <w:r>
        <w:rPr>
          <w:strike/>
        </w:rPr>
        <w:t xml:space="preserve">described by Subsection (c)(2)</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 and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"Excluded shares"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shares of the corporation that are owned at the commencement of the offer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organization consummating the offer;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direct or indirect wholly owned subsidiary of the corporation, the organization consummating the offer, or any person described by Subparagraph (iii);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rollover shares.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affiliate" means, with respect to the organization consummating an offer, any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directly or indirectly, all of the outstanding ownership interests of the organization consummating the offer;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"Received" means: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(c)(3), "received,"</w:t>
      </w:r>
      <w:r>
        <w:t xml:space="preserve">] with respect to </w:t>
      </w:r>
      <w:r>
        <w:rPr>
          <w:u w:val="single"/>
        </w:rPr>
        <w:t xml:space="preserve">certificated</w:t>
      </w:r>
      <w:r>
        <w:t xml:space="preserve"> shares, [</w:t>
      </w:r>
      <w:r>
        <w:rPr>
          <w:strike/>
        </w:rPr>
        <w:t xml:space="preserve">means: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physical receipt of a certificate representing shares </w:t>
      </w:r>
      <w:r>
        <w:rPr>
          <w:u w:val="single"/>
        </w:rPr>
        <w:t xml:space="preserve">accompanied by an executed letter of transmittal</w:t>
      </w:r>
      <w:r>
        <w:t xml:space="preserve"> [</w:t>
      </w:r>
      <w:r>
        <w:rPr>
          <w:strike/>
        </w:rPr>
        <w:t xml:space="preserve">, in the case of certificated shares</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transfer into the depository's account</w:t>
      </w:r>
      <w:r>
        <w:rPr>
          <w:u w:val="single"/>
        </w:rPr>
        <w:t xml:space="preserve"> by means of</w:t>
      </w:r>
      <w:r>
        <w:t xml:space="preserve"> [</w:t>
      </w:r>
      <w:r>
        <w:rPr>
          <w:strike/>
        </w:rPr>
        <w:t xml:space="preserve">or</w:t>
      </w:r>
      <w:r>
        <w:t xml:space="preserve">] an agent's message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uncertificated shares held of record by a person other than a clearing corporation as nominee, physical receipt of an executed letter of transmittal by the depository</w:t>
      </w:r>
      <w:r>
        <w:t xml:space="preserve"> </w:t>
      </w:r>
      <w:r>
        <w:t xml:space="preserve">[</w:t>
      </w:r>
      <w:r>
        <w:rPr>
          <w:strike/>
        </w:rPr>
        <w:t xml:space="preserve">being received by the depository, in the case of uncertificated shares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  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Subsections (c) and (e), shares cease to be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certificated shares, if the certificate representing the shares was canceled before consummation of the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21.701, Business Organizations Code, is amended to read as follows:</w:t>
      </w:r>
    </w:p>
    <w:p w:rsidR="003F3435" w:rsidRDefault="0032493E">
      <w:pPr>
        <w:spacing w:line="480" w:lineRule="auto"/>
        <w:ind w:firstLine="720"/>
        <w:jc w:val="both"/>
      </w:pPr>
      <w:r>
        <w:t xml:space="preserve">Sec.</w:t>
      </w:r>
      <w:r xml:space="preserve">
        <w:t> </w:t>
      </w:r>
      <w:r>
        <w:t xml:space="preserve">21.701.</w:t>
      </w:r>
      <w:r xml:space="preserve">
        <w:t> </w:t>
      </w:r>
      <w:r xml:space="preserve">
        <w:t> </w:t>
      </w:r>
      <w:r>
        <w:t xml:space="preserve">DEFINITIONS.  In this subchapter </w:t>
      </w:r>
      <w:r>
        <w:rPr>
          <w:u w:val="single"/>
        </w:rPr>
        <w:t xml:space="preserve">and Subchapter P</w:t>
      </w:r>
      <w:r>
        <w:t xml:space="preserve">:</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21.705, 21.706, or 21.707.</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21.901, Business Organizations Code, is amended by amending Subdivisions (2) and (4) and adding Subdivision (5-a) to read as follows:</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w:t>
      </w:r>
      <w:r>
        <w:rPr>
          <w:u w:val="single"/>
        </w:rPr>
        <w:t xml:space="preserve">, without regard to the failure of authorization identified in Section 21.903(a)(4)</w:t>
      </w:r>
      <w:r>
        <w:t xml:space="preserve">, but is void or voidable due to a failure of authorization.</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w:t>
      </w:r>
      <w:r>
        <w:rPr>
          <w:strike/>
        </w:rPr>
        <w:t xml:space="preserve">or</w:t>
      </w:r>
      <w:r>
        <w:t xml:space="preserve">] any plan or agreement to which the corporation is a party</w:t>
      </w:r>
      <w:r>
        <w:rPr>
          <w:u w:val="single"/>
        </w:rPr>
        <w:t xml:space="preserve">, or the disclosure set forth in any proxy or consent solicitation statement</w:t>
      </w:r>
      <w:r>
        <w:t xml:space="preserve">,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21.905, Business Organizations Code, is amended to read as follows:</w:t>
      </w:r>
    </w:p>
    <w:p w:rsidR="003F3435" w:rsidRDefault="0032493E">
      <w:pPr>
        <w:spacing w:line="480" w:lineRule="auto"/>
        <w:ind w:firstLine="720"/>
        <w:jc w:val="both"/>
      </w:pPr>
      <w:r>
        <w:t xml:space="preserve">Sec.</w:t>
      </w:r>
      <w:r xml:space="preserve">
        <w:t> </w:t>
      </w:r>
      <w:r>
        <w:t xml:space="preserve">21.905.</w:t>
      </w:r>
      <w:r xml:space="preserve">
        <w:t> </w:t>
      </w:r>
      <w:r xml:space="preserve">
        <w:t> </w:t>
      </w:r>
      <w:r>
        <w:t xml:space="preserve">SHAREHOLDER APPROVAL OF RATIFIED DEFECTIVE CORPORATE ACT REQUIRED; EXCEPTION.  Each defective corporate act ratified under Section 21.903 must be submitted to shareholders for approval as provided by Sections 21.906 and 21.907, unless:</w:t>
      </w:r>
    </w:p>
    <w:p w:rsidR="003F3435" w:rsidRDefault="0032493E">
      <w:pPr>
        <w:spacing w:line="480" w:lineRule="auto"/>
        <w:ind w:firstLine="1440"/>
        <w:jc w:val="both"/>
      </w:pPr>
      <w:r>
        <w:t xml:space="preserve">(1)</w:t>
      </w:r>
      <w:r>
        <w:rPr>
          <w:u w:val="single"/>
        </w:rPr>
        <w:t xml:space="preserve">(A)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type of defective corporate act to be ratified at the time the board of directors adopts the resolutions ratifying that defective corporate act under Section 21.903;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defective corporate act to be ratified did not result from a failure to comply with Subchapter 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21.906(a),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ratification of a defective corporate act is required to be submitted to the shareholders for approval under Section 21.905,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w:t>
      </w:r>
      <w:r>
        <w:rPr>
          <w:u w:val="single"/>
        </w:rPr>
        <w:t xml:space="preserve">other than to a holder whose identity or address cannot be ascertained from the corporation's records:</w:t>
      </w:r>
    </w:p>
    <w:p w:rsidR="003F3435" w:rsidRDefault="0032493E">
      <w:pPr>
        <w:spacing w:line="480" w:lineRule="auto"/>
        <w:ind w:firstLine="2160"/>
        <w:jc w:val="both"/>
      </w:pPr>
      <w:r>
        <w:rPr>
          <w:u w:val="single"/>
        </w:rPr>
        <w:t xml:space="preserve">(A)</w:t>
      </w:r>
      <w:r xml:space="preserve">
        <w:t> </w:t>
      </w:r>
      <w:r xml:space="preserve">
        <w:t> </w:t>
      </w:r>
      <w:r>
        <w:t xml:space="preserve">as of the time of the defective corporate act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any defective corporate act that involved the establishment of a putative record date, as of that putative record date</w:t>
      </w:r>
      <w:r>
        <w:t xml:space="preserve"> [</w:t>
      </w:r>
      <w:r>
        <w:rPr>
          <w:strike/>
        </w:rPr>
        <w:t xml:space="preserve">, except that notice is not required to be given to a holder whose identity or address cannot be ascertained from the corporation's records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21.911(e),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21.906;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w:t>
      </w:r>
      <w:r>
        <w:rPr>
          <w:u w:val="single"/>
        </w:rPr>
        <w:t xml:space="preserve">and Section 21.906(a)(2)</w:t>
      </w:r>
      <w:r>
        <w:t xml:space="preserv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21.953(c),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  If the name does not contain those words or that abbreviation or designation, [</w:t>
      </w:r>
      <w:r>
        <w:rPr>
          <w:strike/>
        </w:rPr>
        <w:t xml:space="preserve">the corporation must,</w:t>
      </w:r>
      <w:r>
        <w:t xml:space="preserve">] before </w:t>
      </w:r>
      <w:r>
        <w:rPr>
          <w:u w:val="single"/>
        </w:rPr>
        <w:t xml:space="preserve">the issuance of</w:t>
      </w:r>
      <w:r>
        <w:t xml:space="preserve"> [</w:t>
      </w:r>
      <w:r>
        <w:rPr>
          <w:strike/>
        </w:rPr>
        <w:t xml:space="preserve">issuing</w:t>
      </w:r>
      <w:r>
        <w:t xml:space="preserve">] unissued shares or </w:t>
      </w:r>
      <w:r>
        <w:rPr>
          <w:u w:val="single"/>
        </w:rPr>
        <w:t xml:space="preserve">the disposition</w:t>
      </w:r>
      <w:r>
        <w:t xml:space="preserve"> [</w:t>
      </w:r>
      <w:r>
        <w:rPr>
          <w:strike/>
        </w:rPr>
        <w:t xml:space="preserve">disposing</w:t>
      </w:r>
      <w:r>
        <w:t xml:space="preserve">] of treasury shares and except as provided by Subsection (d), [</w:t>
      </w:r>
      <w:r>
        <w:rPr>
          <w:strike/>
        </w:rPr>
        <w:t xml:space="preserve">provide</w:t>
      </w:r>
      <w:r>
        <w:t xml:space="preserve">] notice that the corporation is a public benefit corporation </w:t>
      </w:r>
      <w:r>
        <w:rPr>
          <w:u w:val="single"/>
        </w:rPr>
        <w:t xml:space="preserve">shall be given</w:t>
      </w:r>
      <w:r>
        <w:t xml:space="preserve">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21.955(b),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A notice sent </w:t>
      </w:r>
      <w:r>
        <w:rPr>
          <w:u w:val="single"/>
        </w:rPr>
        <w:t xml:space="preserve">to any person</w:t>
      </w:r>
      <w:r>
        <w:t xml:space="preserve"> [</w:t>
      </w:r>
      <w:r>
        <w:rPr>
          <w:strike/>
        </w:rPr>
        <w:t xml:space="preserve">by a public benefit corporation</w:t>
      </w:r>
      <w:r>
        <w:t xml:space="preserve">] under Section 3.205 must state conspicuously that the corporation is a public benefit corporation governed by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22.001, Business Organizations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"Director" means a person who is a member of the board of directors, regardless of the name or title used to designate the person.  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22.002, Business Organizations Code, is amended to read as follows:</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MEETINGS BY REMOTE COMMUNICATIONS TECHNOLOGY.  </w:t>
      </w:r>
      <w:r>
        <w:rPr>
          <w:u w:val="single"/>
        </w:rPr>
        <w:t xml:space="preserve">A</w:t>
      </w:r>
      <w:r>
        <w:t xml:space="preserve"> [</w:t>
      </w:r>
      <w:r>
        <w:rPr>
          <w:strike/>
        </w:rPr>
        <w:t xml:space="preserve">Subject to the provisions of this code and the certificate of formation and bylaws of a corporation, a</w:t>
      </w:r>
      <w:r>
        <w:t xml:space="preserve">] meeting of the members of a corporation, the board of directors of a corporation, or any committee designated by the board of directors of a corporation may be held by means of a </w:t>
      </w:r>
      <w:r>
        <w:rPr>
          <w:u w:val="single"/>
        </w:rPr>
        <w:t xml:space="preserve">conference telephone or similar communications equipment, another suitable</w:t>
      </w:r>
      <w:r>
        <w:t xml:space="preserve"> [</w:t>
      </w:r>
      <w:r>
        <w:rPr>
          <w:strike/>
        </w:rPr>
        <w:t xml:space="preserve">remote</w:t>
      </w:r>
      <w:r>
        <w:t xml:space="preserve">] electronic communications system, including videoconferencing technology or the Internet, </w:t>
      </w:r>
      <w:r>
        <w:rPr>
          <w:u w:val="single"/>
        </w:rPr>
        <w:t xml:space="preserve">or any combination of those means, in accordance with Section 6.002</w:t>
      </w:r>
      <w:r>
        <w:t xml:space="preserve">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person entitled to participate in the meeting consents to the meeting being held by means of that system;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system provides access to the meeting in a manner or using a method by which each person participating in the meeting can communicate concurrently with each other participant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22.210, Business Organizations Code, is amended to read as follows:</w:t>
      </w:r>
    </w:p>
    <w:p w:rsidR="003F3435" w:rsidRDefault="0032493E">
      <w:pPr>
        <w:spacing w:line="480" w:lineRule="auto"/>
        <w:ind w:firstLine="720"/>
        <w:jc w:val="both"/>
      </w:pPr>
      <w:r>
        <w:t xml:space="preserve">Sec.</w:t>
      </w:r>
      <w:r xml:space="preserve">
        <w:t> </w:t>
      </w:r>
      <w:r>
        <w:t xml:space="preserve">22.210.</w:t>
      </w:r>
      <w:r xml:space="preserve">
        <w:t> </w:t>
      </w:r>
      <w:r xml:space="preserve">
        <w:t> </w:t>
      </w:r>
      <w:r>
        <w:rPr>
          <w:u w:val="single"/>
        </w:rPr>
        <w:t xml:space="preserve">NON-DIRECTOR RIGHTS AND LIMITATIONS</w:t>
      </w:r>
      <w:r>
        <w:t xml:space="preserve"> [</w:t>
      </w:r>
      <w:r>
        <w:rPr>
          <w:strike/>
        </w:rPr>
        <w:t xml:space="preserve">EX OFFICIO MEMBER OF BOARD</w:t>
      </w:r>
      <w:r>
        <w:t xml:space="preserve">].  [</w:t>
      </w:r>
      <w:r>
        <w:rPr>
          <w:strike/>
        </w:rPr>
        <w:t xml:space="preserve">(a)</w:t>
      </w:r>
      <w:r>
        <w:t xml:space="preserve">]  The certificate of formation or bylaws of a corporation may provide that a person </w:t>
      </w:r>
      <w:r>
        <w:rPr>
          <w:u w:val="single"/>
        </w:rPr>
        <w:t xml:space="preserve">who is not a director</w:t>
      </w:r>
      <w:r>
        <w:t xml:space="preserve"> </w:t>
      </w:r>
      <w:r>
        <w:t xml:space="preserve">[</w:t>
      </w:r>
      <w:r>
        <w:rPr>
          <w:strike/>
        </w:rPr>
        <w:t xml:space="preserve">may be an ex officio member of the board of directors of the corporation.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designated as an ex officio member of the board</w:t>
      </w:r>
      <w:r>
        <w:t xml:space="preserve">] is entitled to receive notice of and to attend [</w:t>
      </w:r>
      <w:r>
        <w:rPr>
          <w:strike/>
        </w:rPr>
        <w:t xml:space="preserve">board</w:t>
      </w:r>
      <w:r>
        <w:t xml:space="preserve">] meetings </w:t>
      </w:r>
      <w:r>
        <w:rPr>
          <w:u w:val="single"/>
        </w:rPr>
        <w:t xml:space="preserve">of the board of directors. By having those rights, the person does not have the authority, duties, or liabilities of a director and is not a governing person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ex officio member is not entitled to vote unless the certificate of formation or bylaws authorize the member to vote.  An ex officio member of the board who is not entitled to vote does not have the duties or liabilities of a director provided by this chapter.</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w:t>
      </w:r>
      <w:r>
        <w:rPr>
          <w:u w:val="single"/>
        </w:rPr>
        <w:t xml:space="preserve">certificate of formation</w:t>
      </w:r>
      <w:r>
        <w:t xml:space="preserve"> [</w:t>
      </w:r>
      <w:r>
        <w:rPr>
          <w:strike/>
        </w:rPr>
        <w:t xml:space="preserve">charter</w:t>
      </w:r>
      <w:r>
        <w:t xml:space="preserve">]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w:t>
      </w:r>
      <w:r>
        <w:rPr>
          <w:u w:val="single"/>
        </w:rPr>
        <w:t xml:space="preserve">is a director</w:t>
      </w:r>
      <w:r>
        <w:t xml:space="preserve"> [</w:t>
      </w:r>
      <w:r>
        <w:rPr>
          <w:strike/>
        </w:rPr>
        <w:t xml:space="preserve">sits on the board of directors</w:t>
      </w:r>
      <w:r>
        <w:t xml:space="preserve">] of the corporation [</w:t>
      </w:r>
      <w:r>
        <w:rPr>
          <w:strike/>
        </w:rPr>
        <w:t xml:space="preserve">in other than an ex officio capacity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6.252(d) and (e), Business Organizations Code, are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