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86R25284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 Guillen</w:t>
      </w:r>
      <w:r xml:space="preserve">
        <w:tab wTab="150" tlc="none" cTlc="0"/>
      </w:r>
      <w:r>
        <w:t xml:space="preserve">H.B.</w:t>
      </w:r>
      <w:r xml:space="preserve">
        <w:t> </w:t>
      </w:r>
      <w:r>
        <w:t xml:space="preserve">No.</w:t>
      </w:r>
      <w:r xml:space="preserve">
        <w:t> </w:t>
      </w:r>
      <w:r>
        <w:t xml:space="preserve">3607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Higher Education Coordinating Board on methods to reduce certain textbook and course material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61.06651.</w:t>
      </w:r>
      <w:r>
        <w:rPr>
          <w:u w:val="single"/>
        </w:rPr>
        <w:t xml:space="preserve"> </w:t>
      </w:r>
      <w:r>
        <w:rPr>
          <w:u w:val="single"/>
        </w:rPr>
        <w:t xml:space="preserve"> </w:t>
      </w:r>
      <w:r>
        <w:rPr>
          <w:u w:val="single"/>
        </w:rPr>
        <w:t xml:space="preserve">STUDY ON ELECTRONIC TEXTBOOK AND COURSE MATERIAL COSTS.  (a) </w:t>
      </w:r>
      <w:r>
        <w:rPr>
          <w:u w:val="single"/>
        </w:rPr>
        <w:t xml:space="preserve"> </w:t>
      </w:r>
      <w:r>
        <w:rPr>
          <w:u w:val="single"/>
        </w:rPr>
        <w:t xml:space="preserve">In this section, "core curriculum" has the meaning assigned by Section 61.821.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conduct a study on methods to reduce the cost of electronic textbooks and course materials required or recommended for core curriculum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2020, the board shall submit to the governor, the lieutenant governor, the speaker of the house of representatives, and the chair of each legislative standing committee with jurisdiction over higher education a report on the results of the study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