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86R6814 TSR-F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 Fischer</w:t>
      </w:r>
      <w:r xml:space="preserve">
        <w:tab wTab="150" tlc="none" cTlc="0"/>
      </w:r>
      <w:r>
        <w:t xml:space="preserve">H.B.</w:t>
      </w:r>
      <w:r xml:space="preserve">
        <w:t> </w:t>
      </w:r>
      <w:r>
        <w:t xml:space="preserve">No.</w:t>
      </w:r>
      <w:r xml:space="preserve">
        <w:t> </w:t>
      </w:r>
      <w:r>
        <w:t xml:space="preserve">3609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filing of an assumed name certificate by certain business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71.103(a), Business &amp; Commerce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w:t>
      </w:r>
      <w:r>
        <w:t xml:space="preserve"> </w:t>
      </w:r>
      <w:r>
        <w:t xml:space="preserve">[</w:t>
      </w:r>
      <w:r>
        <w:rPr>
          <w:strike/>
        </w:rPr>
        <w:t xml:space="preserve">The</w:t>
      </w:r>
      <w:r>
        <w:t xml:space="preserve">] corporation, limited partnership, limited liability partnership, limited liability company, or foreign filing entity </w:t>
      </w:r>
      <w:r>
        <w:rPr>
          <w:u w:val="single"/>
        </w:rPr>
        <w:t xml:space="preserve">required to file a certificate under Section 71.101</w:t>
      </w:r>
      <w:r>
        <w:t xml:space="preserve"> shall file the certificate in the office of the secretary of state [</w:t>
      </w:r>
      <w:r>
        <w:rPr>
          <w:strike/>
        </w:rPr>
        <w:t xml:space="preserve">and in the office or offices of each county clerk as specified by Subsection (b) or (c)</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71.103(b) and (c) and 71.104(b), Business &amp; Commerce Code, are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repeal by this Act of Sections 71.103(b) and (c) and 71.104(b), Business &amp; Commerce Code, and the changes in law made by this Act to Section 71.103(a), Business &amp; Commerce Code, apply only to an offense under Section 71.202, Business &amp; Commerce Code, committed on or after the effective date of this Act.  An offense committed before the effective date of this Act is governed by the law in effect on the date the offense was committed, and that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