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86R25468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the Texas Higher Education Coordinating Board regarding best practices for assisting students with autism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61.06694.</w:t>
      </w:r>
      <w:r>
        <w:rPr>
          <w:u w:val="single"/>
        </w:rPr>
        <w:t xml:space="preserve"> </w:t>
      </w:r>
      <w:r>
        <w:rPr>
          <w:u w:val="single"/>
        </w:rPr>
        <w:t xml:space="preserve"> </w:t>
      </w:r>
      <w:r>
        <w:rPr>
          <w:u w:val="single"/>
        </w:rPr>
        <w:t xml:space="preserve">STUDY AND REPORT ON ASSISTING STUDENTS WITH AUTISM SPECTRUM DISORDER.  (a) </w:t>
      </w:r>
      <w:r>
        <w:rPr>
          <w:u w:val="single"/>
        </w:rPr>
        <w:t xml:space="preserve"> </w:t>
      </w:r>
      <w:r>
        <w:rPr>
          <w:u w:val="single"/>
        </w:rPr>
        <w:t xml:space="preserve">The board shall conduct a study to determine best practices for assisting students with autism spectrum disorder who are enrolled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track: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with autism spectrum disorder who graduate from secondary schools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with autism spectrum disorder who are enrolled at institutions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student financial assistance available to students with autism spectrum disorder who enroll at institutions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graduation rates of students with autism spectrum disorder who enroll at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examine best practices and program modules from public and private institutions of higher education outside this state that have achieved successful results in working with students with autism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board shall collaborate with school districts that offer specialized programs for students with autism spectrum disorder to determine how those programs could be replicated at or extended to postsecondary institutions.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2021, the board shall submit to the governor, the lieutenant governor, the speaker of the house of representatives, and the commissioner of education a written report that includes the study's findings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