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86R7192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office of minority statistics and engagement in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40.043.</w:t>
      </w:r>
      <w:r>
        <w:rPr>
          <w:u w:val="single"/>
        </w:rPr>
        <w:t xml:space="preserve"> </w:t>
      </w:r>
      <w:r>
        <w:rPr>
          <w:u w:val="single"/>
        </w:rPr>
        <w:t xml:space="preserve"> </w:t>
      </w:r>
      <w:r>
        <w:rPr>
          <w:u w:val="single"/>
        </w:rPr>
        <w:t xml:space="preserve">OFFICE OF MINORITY STATISTICS AND ENGAGEMENT.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minority statistics and engagement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existing resources, the department, in consultation with an institution of higher education and the child welfare community, shall establish an office of minority statistics and engagement within the department to address the disproportionality in the rate of use of child protective and welfare services by and the provision of those services to children who are members of a racial or ethnic minority group and are in the child welfare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collaboration with an institution of higher education and appropriate persons in the child welfare community, the office shall identify the causes of the disproportionality described by Subsection (b) and develop recommendations for addressing those causes and for improving the rate of use of child protective and welfare services by and the provision of those services to children and their families.  In identifying the causes and developing recommendations,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with the institution any information necessary for the institution to assist in identifying the causes and developing recommendations;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unique needs and resources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outcomes for children in the child welfare system and the services necessary to improve the outcomes.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annually submit a written report to the governor, lieutenant governor, speaker of the house of representatives, and chair of each standing legislative committee with primary jurisdiction over the department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recommendations developed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to address disproportionality across the child welfare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summary of the initiatives developed by the department during the preceding year to address the causes of disproportionality identified in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