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86R13677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3615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task force to expedite permitting and funding following certain disasters.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PERMITTING TASK FORCE.  (a)  The division shall form a task force with representatives from the General Land Office, Texas Commission on Environmental Quality, Parks and Wildlife Department, and Texas Historical Commission to be activated if a state of disaster is declared under Section 418.014 because of weather conditions to expedite: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permitting;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to funds from federal disaster relief programs following the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formed under this section shall establish procedures for expediting the evaluation of environmental permits during disaster recovery in order for local entities to demonstrate compliance with regulations and access federal disaster relief programs and funding.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