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86R7652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3621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a student's postsecondary transcript include the average or median grade awarded in each class.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51.980.</w:t>
      </w:r>
      <w:r>
        <w:rPr>
          <w:u w:val="single"/>
        </w:rPr>
        <w:t xml:space="preserve"> </w:t>
      </w:r>
      <w:r>
        <w:rPr>
          <w:u w:val="single"/>
        </w:rPr>
        <w:t xml:space="preserve"> </w:t>
      </w:r>
      <w:r>
        <w:rPr>
          <w:u w:val="single"/>
        </w:rPr>
        <w:t xml:space="preserve">TRANSPARENCY IN STUDENT TRANSCRIPTS.  (a)  In this section, "general academic teaching institution"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general academic teaching institution shall include on a student's transcript, for each class attempted by the student, the average grade that was awarded to all students in the class.  For a class for which letter grades are awarded, the institution shall include on the transcript the median grade of the letter grades awarded in the class.  The institution shall place the average or median grade, as applicable, immediately to the right of the student's individual grade.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class: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offered to students solely on a pass-fail basis or for independent study credit;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grades are reported for 10 students or fewer.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Higher Education Coordinating Board shall adopt rules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Higher Education Coordinating Board shall adopt the rules required by Section 51.980, Education Code, as added by this Act, as soon as practicable after this Act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beginning with the 2019 fall semester.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