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86R13972 SRS-F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Schaefer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3623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renewal of a public school teacher's continuing employment contract based on student growth.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21.154,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21.154.</w:t>
      </w:r>
      <w:r xml:space="preserve">
        <w:t> </w:t>
      </w:r>
      <w:r xml:space="preserve">
        <w:t> </w:t>
      </w:r>
      <w:r>
        <w:t xml:space="preserve">STATUS UNDER CONTINUING CONTRACT.  Each teacher employed under a continuing contract is entitled to continue in the teacher's position or a position with the school district for future school years without the necessity for annual nomination or reappointment </w:t>
      </w:r>
      <w:r>
        <w:rPr>
          <w:u w:val="single"/>
        </w:rPr>
        <w:t xml:space="preserve">unless</w:t>
      </w:r>
      <w:r>
        <w:t xml:space="preserve"> [</w:t>
      </w:r>
      <w:r>
        <w:rPr>
          <w:strike/>
        </w:rPr>
        <w:t xml:space="preserve">until</w:t>
      </w:r>
      <w:r>
        <w:t xml:space="preserve">] the person: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resigns;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retires under the Teacher Retirement System of Texas;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is released from employment by the school district at the end of a school year because of necessary reduction of personnel as provided by Section 21.157;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is discharged for good cause as defined by Section 21.156 and in accordance with the procedures provided by this chapter;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is discharged for a reason stated in the teacher's contract that existed on or before September 1, 1995, and in accordance with the procedures prescribed by this chapter;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is returned to probationary status, as authorized by Section 21.106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 classroom teacher and a majority of students for whom the teacher is responsible fail to meet a minimum growth standard as determined by the district and approved by the commissioner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3623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