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86R20398 MAW-D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3624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3624: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3624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reduced occupational licensing fee for certain former license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57, Occupations Code, is amended by adding Section 57.003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57.003.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REDUCED OCCUPATIONAL LICENSING FEE FOR CERTAIN FORMER LICENSE HOLDERS.  (a)  Notwithstanding any other law, a state agency that issues a license shall adopt rules requiring the agency to charge a reduced license application fee or reactivation fee, as applicable, not to exceed one-third of the amount of the usual fee, to an applicant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two-year period preceding the date of the application, became a parent by natural birth or adoption;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immediately before the birth or adoption, held an active license of the same type for which the person is applying.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adopted under this section may require an applicant to submit to the state agency an attestation or other documentation relating to the child's birth or adoption.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September 1, 2020, a state agency to which Section 57.003, Occupations Code, as added by this Act, applies shall adopt and implement the rules required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3624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