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86R8978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of licensed court interpreters.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licensed court interpreter appointed by a court under Subsection (a) or (b) must hold a license </w:t>
      </w:r>
      <w:r>
        <w:rPr>
          <w:u w:val="single"/>
        </w:rPr>
        <w:t xml:space="preserve">issued under Chapter 157</w:t>
      </w:r>
      <w:r>
        <w:t xml:space="preserve"> [</w:t>
      </w:r>
      <w:r>
        <w:rPr>
          <w:strike/>
        </w:rPr>
        <w:t xml:space="preserve">that includes the appropriate designation under Section 157.101(d) that indicates the interpreter is permitted to interpret in that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157.101, Government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 license issued under this chapter must include at least one of the following designations:</w:t>
      </w:r>
    </w:p>
    <w:p w:rsidR="003F3435" w:rsidRDefault="0032493E">
      <w:pPr>
        <w:spacing w:line="480" w:lineRule="auto"/>
        <w:ind w:firstLine="1440"/>
        <w:jc w:val="both"/>
      </w:pPr>
      <w:r>
        <w:t xml:space="preserve">(1)</w:t>
      </w:r>
      <w:r xml:space="preserve">
        <w:t> </w:t>
      </w:r>
      <w:r xml:space="preserve">
        <w:t> </w:t>
      </w:r>
      <w:r>
        <w:t xml:space="preserve">a basic designation [</w:t>
      </w:r>
      <w:r>
        <w:rPr>
          <w:strike/>
        </w:rPr>
        <w:t xml:space="preserve">that permits the interpreter to interpret court proceedings in justice courts and municipal courts that are not municipal courts of record, but the designation does not permit the interpreter to interpret a proceeding before the court in which the judge is acting as a magistrate</w:t>
      </w:r>
      <w:r>
        <w:t xml:space="preserve">]; or</w:t>
      </w:r>
    </w:p>
    <w:p w:rsidR="003F3435" w:rsidRDefault="0032493E">
      <w:pPr>
        <w:spacing w:line="480" w:lineRule="auto"/>
        <w:ind w:firstLine="1440"/>
        <w:jc w:val="both"/>
      </w:pPr>
      <w:r>
        <w:t xml:space="preserve">(2)</w:t>
      </w:r>
      <w:r xml:space="preserve">
        <w:t> </w:t>
      </w:r>
      <w:r xml:space="preserve">
        <w:t> </w:t>
      </w:r>
      <w:r>
        <w:t xml:space="preserve">a master designation [</w:t>
      </w:r>
      <w:r>
        <w:rPr>
          <w:strike/>
        </w:rPr>
        <w:t xml:space="preserve">that permits the interpreter to interpret court proceedings in all courts in this state, including justice courts and municipal courts described by Subdivision (1)</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court interpreter who holds a license issued under this chapter may interpret court proceedings in all courts in this state, regardless of whether the license has a basic designation or master designation.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