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3648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261.001, Human Resources Code, is amended by amending Subdivision (1) and adding Subdivision (1-a)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"Child" means an individual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10 years of age or older and younger than 19 years of age;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committed to or placed in a facility described by Section 261.101(f) by an order issued by a juvenile court.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 xml:space="preserve">
        <w:t> </w:t>
      </w:r>
      <w:r xml:space="preserve">
        <w:t> </w:t>
      </w:r>
      <w:r>
        <w:t xml:space="preserve">"Independent ombudsman" means the individual who has been appointed under this chapter to the office of independent ombudsman.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