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86R8026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drug or alcohol overdose awareness and response training for residential advisors and officers of student organizations at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51.9362.</w:t>
      </w:r>
      <w:r>
        <w:rPr>
          <w:u w:val="single"/>
        </w:rPr>
        <w:t xml:space="preserve"> </w:t>
      </w:r>
      <w:r>
        <w:rPr>
          <w:u w:val="single"/>
        </w:rPr>
        <w:t xml:space="preserve"> </w:t>
      </w:r>
      <w:r>
        <w:rPr>
          <w:u w:val="single"/>
        </w:rPr>
        <w:t xml:space="preserve">DRUG AND ALCOHOL AWARENESS TRAINING FOR RESIDENTIAL ADVISORS AND STUDENT ORGANIZATION OFFICERS.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or private institution of higher education" includes an "institution of higher education" and a "private or independent institution of higher education," as those terms are defined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advisor" means a student who is employed by a public or private institution of higher education to serve in an advisory capacity for students living in a residential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facility" means a residence used exclusively for housing or boarding students or faculty of a public or private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organization" includes any organization that is composed mostly of students enrolled at a public or private institution of higher education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registered with the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receives student organization resource fee revenues or other funding from the institution;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otherwise recognized as a student organization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public or private institution of higher education that imposes any mandatory training requirements on residential advisors or officers of student organizations must ensure that drug and alcohol overdose awareness and appropriate response training is included with that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training required for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