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3663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North Central Texas Municipal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 Chapter 86, Acts of the 55th Legislature, Regular Session, 1957, is amended to read as follows: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The Authority is empowered to acquire land and to construct, lease or otherwise acquire all works, plants and other facilities necessary or useful for the purpose of diverting, further impounding or storing water, processing such water and transporting it to cities and others for municipal, domestic, industrial and mining purposes.  Subject to the terms of any deed of trust issued by the Authority, the Authority may sell, trade or otherwise dispose of any real or personal property deemed by the Board of Directors not to be needed for Authority purposes.  The Authority is [</w:t>
      </w:r>
      <w:r>
        <w:rPr>
          <w:strike/>
        </w:rPr>
        <w:t xml:space="preserve">not</w:t>
      </w:r>
      <w:r>
        <w:t xml:space="preserve">] authorized to develop or otherwise acquire underground sources of water.  The Authority is not authorized to exercise powers of eminent domain outside the boundaries of Baylor, Knox, Haskell and Throckmorton Counties.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All acts of the North Central Texas Municipal Water Authority relating to the development or acquisition of groundwater occurring on or before the effective date of this Act and taken in response to emergency drought conditions that have not been rescinded or are the subject of pending litigation are validated in all respects.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