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86R13674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3668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grants awarded to nonprofit food banks for disaster response.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418.026.</w:t>
      </w:r>
      <w:r>
        <w:rPr>
          <w:u w:val="single"/>
        </w:rPr>
        <w:t xml:space="preserve"> </w:t>
      </w:r>
      <w:r>
        <w:rPr>
          <w:u w:val="single"/>
        </w:rPr>
        <w:t xml:space="preserve"> </w:t>
      </w:r>
      <w:r>
        <w:rPr>
          <w:u w:val="single"/>
        </w:rPr>
        <w:t xml:space="preserve">DISASTER GRANTS FOR NONPROFIT FOOD BANKS.  (a)  In this section, "nonprofit food bank" means a nonprofit organization that solicits, warehouses, and redistributes edible food to agencies that feed needy families and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shall establish a program to provide grants to nonprofit food banks in this state to build the capacity of nonprofit food banks to respond to disasters.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Grant money awarded under this section may be used only to reimburse a nonprofit food bank for all or part of the costs incurred by the nonprofit food bank as a result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 inventory of emergency food boxes in preparation for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purchasing, storing, and transporting food for distribution during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purchasing capital equipment necessary to operate through a disaster, including back-up generators, mobile food pantries, trucks, meal preparation units, forklifts, technology, and other equipment.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of the governor shall establish procedures to administer the grant program, including a procedure for the submission of a proposal and a procedure to be used by the office to evaluate a proposal.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the governor shall enter into a contract that includes performance requirements with each grant recipient.  The office shall monitor and enforce the terms of the contract.  The contract must authorize the office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of the governor may solicit and accept gifts, grants, and donations from any source for the purpose of awarding grants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