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3668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Water &amp; Rural Affairs;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3668</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grants for disaster response by nonprofit food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418.026.</w:t>
      </w:r>
      <w:r>
        <w:rPr>
          <w:u w:val="single"/>
        </w:rPr>
        <w:t xml:space="preserve"> </w:t>
      </w:r>
      <w:r>
        <w:rPr>
          <w:u w:val="single"/>
        </w:rPr>
        <w:t xml:space="preserve"> </w:t>
      </w:r>
      <w:r>
        <w:rPr>
          <w:u w:val="single"/>
        </w:rPr>
        <w:t xml:space="preserve">GRANTS FOR DISASTER RESPONSE BY NONPROFIT FOOD BANKS.  (a)  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money available for the purpose, the office of the governor shall establish a program to provide grants to nonprofit organizations in this state for distribution to nonprofit food banks to build the capacity of the nonprofit food banks to respond to disasters.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five years of experience coordinating a statewide network of nonprofit food banks and charitable organizations that distribute food to needy or low income individuals during disasters;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the Texas Voluntary Organizations Active in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 inventory of emergency food boxes in preparation for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storing, and transporting food for distribution during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capital equipment necessary to operate during a disaster, including back-up generators, mobile food pantries, trucks, meal preparation units, forklifts, technology, and other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the governor may solicit and accept gifts, grants, and donations from any source for the purpose of awarding grants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office of the governor is required to implement a provision of this Act only if the legislature appropriates money specifically for that purpose. </w:t>
      </w:r>
      <w:r>
        <w:t xml:space="preserve"> </w:t>
      </w:r>
      <w:r>
        <w:t xml:space="preserve">If the legislature does not appropriate money specifically for that purpose, the office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