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3677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screenings in public or private schools to detect vision disorders of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36.003, Health and Safety Code, is amended by adding Subsection (10) to read as follows: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"Electronic eye chart" means any system, device, or method, computerized or otherwise, that displays medically accepted and properly sized optotypes (letters, numbers or symbols) on an electronic screen that individuals identify to assess visual acuity.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36.004, Health and Safety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rules must allow an individual who attends a public or private school to be screened using an electronic eye chart to detect vision disorders as an accepted equivalent to a printed eye chart.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