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86R14165 NC-D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reporting and accessibility of county budget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 The comptroller of public accounts shall conduct a study to evaluate standards for reporting county budget information and methods for making that information publicly accessible.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conducting the study, the comptroller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identify and evaluate uniform standards for reporting county budget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identify best practices for reporting county budget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identify and evaluate methods for making county budget information publicly accessible.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Not later than June 1, 2020, the comptroller shall prepare and submit to the governor, lieutenant governor, and speaker of the house of representatives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Act expires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